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2D62" w14:textId="77777777" w:rsidR="008A1942" w:rsidRPr="006916FC" w:rsidRDefault="008A1942" w:rsidP="008A7E29">
      <w:pPr>
        <w:jc w:val="both"/>
        <w:rPr>
          <w:rFonts w:ascii="Didot" w:hAnsi="Didot" w:cs="Didot"/>
          <w:b/>
          <w:sz w:val="72"/>
          <w:szCs w:val="72"/>
        </w:rPr>
      </w:pPr>
    </w:p>
    <w:p w14:paraId="40B63656" w14:textId="22D0D968" w:rsidR="008A1942" w:rsidRPr="006916FC" w:rsidRDefault="008A1942" w:rsidP="008A7E29">
      <w:pPr>
        <w:jc w:val="both"/>
        <w:rPr>
          <w:rFonts w:ascii="Didot" w:hAnsi="Didot" w:cs="Didot"/>
          <w:b/>
          <w:sz w:val="72"/>
          <w:szCs w:val="72"/>
        </w:rPr>
      </w:pPr>
      <w:r w:rsidRPr="006916FC">
        <w:rPr>
          <w:rFonts w:ascii="Didot" w:hAnsi="Didot" w:cs="Didot"/>
          <w:b/>
          <w:noProof/>
          <w:sz w:val="72"/>
          <w:szCs w:val="72"/>
          <w:lang w:val="en-US"/>
        </w:rPr>
        <w:drawing>
          <wp:inline distT="0" distB="0" distL="0" distR="0" wp14:anchorId="4131351C" wp14:editId="07DE315A">
            <wp:extent cx="5740400" cy="1712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lobal Violence Reduction Conference 2014.png"/>
                    <pic:cNvPicPr/>
                  </pic:nvPicPr>
                  <pic:blipFill>
                    <a:blip r:embed="rId9">
                      <a:extLst>
                        <a:ext uri="{28A0092B-C50C-407E-A947-70E740481C1C}">
                          <a14:useLocalDpi xmlns:a14="http://schemas.microsoft.com/office/drawing/2010/main" val="0"/>
                        </a:ext>
                      </a:extLst>
                    </a:blip>
                    <a:stretch>
                      <a:fillRect/>
                    </a:stretch>
                  </pic:blipFill>
                  <pic:spPr>
                    <a:xfrm>
                      <a:off x="0" y="0"/>
                      <a:ext cx="5740400" cy="1712595"/>
                    </a:xfrm>
                    <a:prstGeom prst="rect">
                      <a:avLst/>
                    </a:prstGeom>
                  </pic:spPr>
                </pic:pic>
              </a:graphicData>
            </a:graphic>
          </wp:inline>
        </w:drawing>
      </w:r>
    </w:p>
    <w:p w14:paraId="0364D045" w14:textId="77777777" w:rsidR="008A1942" w:rsidRPr="006916FC" w:rsidRDefault="008A1942" w:rsidP="008A7E29">
      <w:pPr>
        <w:jc w:val="both"/>
        <w:rPr>
          <w:rFonts w:ascii="Didot" w:hAnsi="Didot" w:cs="Didot"/>
          <w:b/>
          <w:sz w:val="72"/>
          <w:szCs w:val="72"/>
        </w:rPr>
      </w:pPr>
    </w:p>
    <w:p w14:paraId="0A59B8A2" w14:textId="77777777" w:rsidR="008A1942" w:rsidRPr="006916FC" w:rsidRDefault="008A1942" w:rsidP="008A7E29">
      <w:pPr>
        <w:jc w:val="both"/>
        <w:rPr>
          <w:rFonts w:ascii="Didot" w:hAnsi="Didot" w:cs="Didot"/>
          <w:b/>
          <w:sz w:val="72"/>
          <w:szCs w:val="72"/>
        </w:rPr>
      </w:pPr>
    </w:p>
    <w:p w14:paraId="2F0CE2E4" w14:textId="77777777" w:rsidR="008A1942" w:rsidRPr="006916FC" w:rsidRDefault="008A1942" w:rsidP="008A7E29">
      <w:pPr>
        <w:jc w:val="both"/>
        <w:rPr>
          <w:rFonts w:ascii="Didot" w:hAnsi="Didot" w:cs="Didot"/>
          <w:b/>
          <w:sz w:val="72"/>
          <w:szCs w:val="72"/>
        </w:rPr>
      </w:pPr>
    </w:p>
    <w:p w14:paraId="3159299C" w14:textId="1B7B2820" w:rsidR="008A1942" w:rsidRPr="006916FC" w:rsidRDefault="008A1942" w:rsidP="008A7E29">
      <w:pPr>
        <w:jc w:val="both"/>
        <w:rPr>
          <w:rFonts w:ascii="Didot" w:hAnsi="Didot" w:cs="Didot"/>
          <w:b/>
          <w:sz w:val="72"/>
          <w:szCs w:val="72"/>
        </w:rPr>
      </w:pPr>
      <w:r w:rsidRPr="006916FC">
        <w:rPr>
          <w:rFonts w:ascii="Didot" w:hAnsi="Didot" w:cs="Didot"/>
          <w:b/>
          <w:sz w:val="72"/>
          <w:szCs w:val="72"/>
        </w:rPr>
        <w:t xml:space="preserve">Session speakers: Bios, abstracts and summaries </w:t>
      </w:r>
    </w:p>
    <w:p w14:paraId="5EBF2692" w14:textId="77777777" w:rsidR="008A1942" w:rsidRPr="006916FC" w:rsidRDefault="008A1942" w:rsidP="008A7E29">
      <w:pPr>
        <w:jc w:val="both"/>
        <w:rPr>
          <w:rFonts w:ascii="Didot" w:hAnsi="Didot" w:cs="Didot"/>
          <w:b/>
          <w:sz w:val="72"/>
          <w:szCs w:val="72"/>
        </w:rPr>
      </w:pPr>
    </w:p>
    <w:p w14:paraId="5B19A457" w14:textId="77777777" w:rsidR="008A1942" w:rsidRPr="006916FC" w:rsidRDefault="008A1942" w:rsidP="008A7E29">
      <w:pPr>
        <w:jc w:val="both"/>
        <w:rPr>
          <w:rFonts w:ascii="Didot" w:hAnsi="Didot" w:cs="Didot"/>
          <w:b/>
          <w:sz w:val="34"/>
          <w:szCs w:val="34"/>
        </w:rPr>
      </w:pPr>
    </w:p>
    <w:p w14:paraId="66378BCC" w14:textId="204715BB" w:rsidR="008A1942" w:rsidRPr="006916FC" w:rsidRDefault="008A1942" w:rsidP="008A7E29">
      <w:pPr>
        <w:jc w:val="both"/>
        <w:rPr>
          <w:rFonts w:ascii="Didot" w:hAnsi="Didot" w:cs="Didot"/>
          <w:b/>
          <w:sz w:val="34"/>
          <w:szCs w:val="34"/>
        </w:rPr>
      </w:pPr>
      <w:r w:rsidRPr="006916FC">
        <w:rPr>
          <w:rFonts w:ascii="Didot" w:hAnsi="Didot" w:cs="Didot"/>
          <w:b/>
          <w:sz w:val="34"/>
          <w:szCs w:val="34"/>
        </w:rPr>
        <w:t xml:space="preserve">Please note that only materials submitted before the relevant deadlines are included in this document. </w:t>
      </w:r>
    </w:p>
    <w:p w14:paraId="75F33E46" w14:textId="5D5DCE55" w:rsidR="008A1942" w:rsidRPr="006916FC" w:rsidRDefault="008A1942" w:rsidP="00A54CC7">
      <w:pPr>
        <w:pStyle w:val="Heading1"/>
      </w:pPr>
    </w:p>
    <w:p w14:paraId="23E15197" w14:textId="5BE1C97B" w:rsidR="00B009D2" w:rsidRPr="006916FC" w:rsidRDefault="008A1942" w:rsidP="008A7E29">
      <w:pPr>
        <w:pStyle w:val="Heading1"/>
        <w:rPr>
          <w:sz w:val="34"/>
          <w:szCs w:val="34"/>
        </w:rPr>
      </w:pPr>
      <w:r w:rsidRPr="006916FC">
        <w:br w:type="column"/>
      </w:r>
      <w:bookmarkStart w:id="0" w:name="_Toc272639878"/>
      <w:bookmarkStart w:id="1" w:name="_Toc272645011"/>
      <w:bookmarkStart w:id="2" w:name="_GoBack"/>
      <w:bookmarkEnd w:id="2"/>
      <w:r w:rsidR="00B009D2" w:rsidRPr="006916FC">
        <w:rPr>
          <w:sz w:val="34"/>
          <w:szCs w:val="34"/>
        </w:rPr>
        <w:lastRenderedPageBreak/>
        <w:t>Session 1</w:t>
      </w:r>
      <w:bookmarkEnd w:id="0"/>
      <w:bookmarkEnd w:id="1"/>
      <w:r w:rsidR="00B009D2" w:rsidRPr="006916FC">
        <w:rPr>
          <w:sz w:val="34"/>
          <w:szCs w:val="34"/>
        </w:rPr>
        <w:t xml:space="preserve"> </w:t>
      </w:r>
    </w:p>
    <w:p w14:paraId="1603D2D4" w14:textId="77777777" w:rsidR="000D6A2E" w:rsidRPr="006916FC" w:rsidRDefault="000D6A2E" w:rsidP="008A7E29">
      <w:pPr>
        <w:pStyle w:val="Heading1"/>
      </w:pPr>
      <w:bookmarkStart w:id="3" w:name="_Toc272639879"/>
      <w:bookmarkStart w:id="4" w:name="_Toc272645012"/>
      <w:r w:rsidRPr="006916FC">
        <w:t>Creating and Using the Global Evidence Base for Violence Reduction</w:t>
      </w:r>
      <w:bookmarkEnd w:id="3"/>
      <w:bookmarkEnd w:id="4"/>
    </w:p>
    <w:p w14:paraId="2BBBC65A" w14:textId="77777777" w:rsidR="00B009D2" w:rsidRPr="006916FC" w:rsidRDefault="00B009D2" w:rsidP="008A7E29">
      <w:pPr>
        <w:jc w:val="both"/>
        <w:rPr>
          <w:rFonts w:ascii="Didot" w:hAnsi="Didot" w:cs="Didot"/>
          <w:lang w:val="en-US"/>
        </w:rPr>
      </w:pPr>
    </w:p>
    <w:p w14:paraId="5DB536C9" w14:textId="77777777" w:rsidR="00006B6B" w:rsidRPr="006916FC" w:rsidRDefault="000D6A2E" w:rsidP="008A7E29">
      <w:pPr>
        <w:widowControl w:val="0"/>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Peter Donnelly - University of St. Andrews, Professor of Public Health and Medicine at the School of Medicine</w:t>
      </w:r>
    </w:p>
    <w:p w14:paraId="0C03952D" w14:textId="77777777" w:rsidR="00006B6B" w:rsidRPr="006916FC" w:rsidRDefault="00006B6B" w:rsidP="008A7E29">
      <w:pPr>
        <w:pBdr>
          <w:top w:val="single" w:sz="6" w:space="1" w:color="auto"/>
          <w:bottom w:val="single" w:sz="6" w:space="1" w:color="auto"/>
        </w:pBdr>
        <w:jc w:val="both"/>
        <w:rPr>
          <w:rFonts w:ascii="Didot" w:hAnsi="Didot" w:cs="Didot"/>
          <w:color w:val="121212"/>
          <w:sz w:val="22"/>
          <w:szCs w:val="22"/>
          <w:lang w:val="en-US"/>
        </w:rPr>
      </w:pPr>
    </w:p>
    <w:p w14:paraId="007E9A8C" w14:textId="77777777" w:rsidR="000D6A2E" w:rsidRPr="006916FC" w:rsidRDefault="000D6A2E" w:rsidP="008A7E29">
      <w:pPr>
        <w:pBdr>
          <w:top w:val="single" w:sz="6" w:space="1" w:color="auto"/>
          <w:bottom w:val="single" w:sz="6" w:space="1" w:color="auto"/>
        </w:pBdr>
        <w:jc w:val="both"/>
        <w:rPr>
          <w:rFonts w:ascii="Didot" w:hAnsi="Didot" w:cs="Didot"/>
          <w:color w:val="121212"/>
          <w:sz w:val="22"/>
          <w:szCs w:val="22"/>
          <w:lang w:val="en-US"/>
        </w:rPr>
      </w:pPr>
      <w:r w:rsidRPr="006916FC">
        <w:rPr>
          <w:rFonts w:ascii="Didot" w:hAnsi="Didot" w:cs="Didot"/>
          <w:color w:val="121212"/>
          <w:sz w:val="22"/>
          <w:szCs w:val="22"/>
          <w:lang w:val="en-US"/>
        </w:rPr>
        <w:t>Without high quality data the aim of reducing violence significantly in the next 30 years stands little chance of being achieved. This includes data on its scale, distribution, and consequences; risk and protective factors for different types of violence and their causal status; what works to prevent and respond to it and how to scale up what works; and on the costs and cost-effectiveness of effective measures. Speakers in this session will present ways to generate, disseminate, and apply evidence, particularly in low- and middle-income countries, that can help to reduce violence.</w:t>
      </w:r>
    </w:p>
    <w:p w14:paraId="13FB8D02" w14:textId="77777777" w:rsidR="001A057F" w:rsidRPr="006916FC" w:rsidRDefault="001A057F" w:rsidP="008A7E29">
      <w:pPr>
        <w:pBdr>
          <w:top w:val="single" w:sz="6" w:space="1" w:color="auto"/>
          <w:bottom w:val="single" w:sz="6" w:space="1" w:color="auto"/>
        </w:pBdr>
        <w:jc w:val="both"/>
        <w:rPr>
          <w:rFonts w:ascii="Didot" w:hAnsi="Didot" w:cs="Didot"/>
          <w:color w:val="121212"/>
          <w:sz w:val="22"/>
          <w:szCs w:val="22"/>
          <w:lang w:val="en-US"/>
        </w:rPr>
      </w:pPr>
    </w:p>
    <w:p w14:paraId="345D3648" w14:textId="77777777" w:rsidR="00006B6B" w:rsidRPr="006916FC" w:rsidRDefault="00006B6B" w:rsidP="008A7E29">
      <w:pPr>
        <w:jc w:val="both"/>
        <w:rPr>
          <w:rFonts w:ascii="Didot" w:hAnsi="Didot" w:cs="Didot"/>
          <w:color w:val="121212"/>
          <w:sz w:val="22"/>
          <w:szCs w:val="22"/>
          <w:lang w:val="en-US"/>
        </w:rPr>
      </w:pPr>
    </w:p>
    <w:p w14:paraId="76F8421B" w14:textId="77777777" w:rsidR="000D6A2E" w:rsidRPr="006916FC" w:rsidRDefault="000D6A2E" w:rsidP="008A7E29">
      <w:pPr>
        <w:pStyle w:val="Heading2"/>
        <w:jc w:val="both"/>
        <w:rPr>
          <w:rFonts w:ascii="Didot" w:hAnsi="Didot" w:cs="Didot"/>
          <w:color w:val="auto"/>
          <w:sz w:val="34"/>
          <w:szCs w:val="34"/>
        </w:rPr>
      </w:pPr>
      <w:bookmarkStart w:id="5" w:name="_Toc272639880"/>
      <w:bookmarkStart w:id="6" w:name="_Toc272645013"/>
      <w:r w:rsidRPr="006916FC">
        <w:rPr>
          <w:rFonts w:ascii="Didot" w:hAnsi="Didot" w:cs="Didot"/>
          <w:color w:val="auto"/>
          <w:sz w:val="34"/>
          <w:szCs w:val="34"/>
        </w:rPr>
        <w:t>Richard Matzopoulos</w:t>
      </w:r>
      <w:bookmarkEnd w:id="5"/>
      <w:bookmarkEnd w:id="6"/>
      <w:r w:rsidRPr="006916FC">
        <w:rPr>
          <w:rFonts w:ascii="Didot" w:hAnsi="Didot" w:cs="Didot"/>
          <w:color w:val="auto"/>
          <w:sz w:val="34"/>
          <w:szCs w:val="34"/>
        </w:rPr>
        <w:t xml:space="preserve"> </w:t>
      </w:r>
    </w:p>
    <w:p w14:paraId="2D0CF51E" w14:textId="77777777" w:rsidR="00362AAD" w:rsidRPr="006916FC" w:rsidRDefault="00362AAD" w:rsidP="008A7E29">
      <w:pPr>
        <w:jc w:val="both"/>
        <w:rPr>
          <w:rFonts w:ascii="Didot" w:hAnsi="Didot" w:cs="Didot"/>
          <w:b/>
          <w:color w:val="121212"/>
          <w:lang w:val="en-US"/>
        </w:rPr>
      </w:pPr>
    </w:p>
    <w:p w14:paraId="65243FF6"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6FE65141" w14:textId="77777777" w:rsidR="002B35BA" w:rsidRPr="006916FC" w:rsidRDefault="002B35BA" w:rsidP="008A7E29">
      <w:pPr>
        <w:jc w:val="both"/>
        <w:rPr>
          <w:rFonts w:ascii="Didot" w:hAnsi="Didot" w:cs="Didot"/>
          <w:b/>
          <w:color w:val="121212"/>
          <w:lang w:val="en-US"/>
        </w:rPr>
      </w:pPr>
    </w:p>
    <w:p w14:paraId="3AB6A5D2" w14:textId="77777777" w:rsidR="000D6A2E" w:rsidRPr="008B4D4B" w:rsidRDefault="000D6A2E" w:rsidP="008A7E29">
      <w:pPr>
        <w:jc w:val="both"/>
        <w:rPr>
          <w:rFonts w:ascii="Didot" w:hAnsi="Didot" w:cs="Didot"/>
          <w:color w:val="121212"/>
          <w:sz w:val="22"/>
          <w:szCs w:val="22"/>
          <w:lang w:val="en-US"/>
        </w:rPr>
      </w:pPr>
      <w:r w:rsidRPr="008B4D4B">
        <w:rPr>
          <w:rFonts w:ascii="Didot" w:hAnsi="Didot" w:cs="Didot"/>
          <w:color w:val="121212"/>
          <w:sz w:val="22"/>
          <w:szCs w:val="22"/>
          <w:lang w:val="en-US"/>
        </w:rPr>
        <w:t>Richard Matzopoulos is a Specialist Scientist at the Medical Research Council's Burden of Disease Research Unit and an Honorary Research Associate at the University of Cape Town's School of Public Health and Family Medicine, and its Centre for Occupational and Environmental Health, where he co-ordinates its Violence and Injury Research programme. Richard's research centres on measuring the health and social burden of violence and injury, and evaluating interventions and policies that target upstream determinants. He is currently principal investigator on two competitive grants awarded by Canada's International Development Research Centre and the UK's Department for International Development to evaluate the impact of alcohol policy and urban upgrading on violence reduction in selected low-income communities in South Africa. He advises the Provincial Government of the Western Cape on its interpersonal violence and injury prevention and surveillance activities through its Burden of Disease Reduction Project and chairs its transversal Injury Prevention Working Group. He is one of two South African focal points for the international Violence Prevention Alliance.</w:t>
      </w:r>
    </w:p>
    <w:p w14:paraId="0C0440E2" w14:textId="77777777" w:rsidR="000D6A2E" w:rsidRPr="008B4D4B" w:rsidRDefault="000D6A2E" w:rsidP="008A7E29">
      <w:pPr>
        <w:pBdr>
          <w:bottom w:val="single" w:sz="6" w:space="1" w:color="auto"/>
        </w:pBdr>
        <w:jc w:val="both"/>
        <w:rPr>
          <w:rFonts w:ascii="Didot" w:hAnsi="Didot" w:cs="Didot"/>
          <w:color w:val="121212"/>
          <w:sz w:val="22"/>
          <w:szCs w:val="22"/>
          <w:lang w:val="en-US"/>
        </w:rPr>
      </w:pPr>
    </w:p>
    <w:p w14:paraId="1A39DE8B" w14:textId="77777777" w:rsidR="008438EF" w:rsidRPr="008B4D4B" w:rsidRDefault="008438EF" w:rsidP="008A7E29">
      <w:pPr>
        <w:jc w:val="both"/>
        <w:rPr>
          <w:rFonts w:ascii="Didot" w:hAnsi="Didot" w:cs="Didot"/>
          <w:color w:val="121212"/>
          <w:sz w:val="22"/>
          <w:szCs w:val="22"/>
          <w:lang w:val="en-US"/>
        </w:rPr>
      </w:pPr>
    </w:p>
    <w:p w14:paraId="391B3611" w14:textId="77777777" w:rsidR="000D6A2E" w:rsidRPr="008B4D4B" w:rsidRDefault="000D6A2E" w:rsidP="008A7E29">
      <w:pPr>
        <w:jc w:val="both"/>
        <w:rPr>
          <w:rFonts w:ascii="Didot" w:hAnsi="Didot" w:cs="Didot"/>
          <w:b/>
          <w:color w:val="121212"/>
          <w:sz w:val="22"/>
          <w:szCs w:val="22"/>
          <w:lang w:val="en-US"/>
        </w:rPr>
      </w:pPr>
      <w:r w:rsidRPr="008B4D4B">
        <w:rPr>
          <w:rFonts w:ascii="Didot" w:hAnsi="Didot" w:cs="Didot"/>
          <w:b/>
          <w:color w:val="121212"/>
          <w:sz w:val="22"/>
          <w:szCs w:val="22"/>
          <w:lang w:val="en-US"/>
        </w:rPr>
        <w:t>Abstract</w:t>
      </w:r>
    </w:p>
    <w:p w14:paraId="71C83048" w14:textId="77777777" w:rsidR="002B35BA" w:rsidRPr="008B4D4B" w:rsidRDefault="002B35BA" w:rsidP="008A7E29">
      <w:pPr>
        <w:jc w:val="both"/>
        <w:rPr>
          <w:rFonts w:ascii="Didot" w:hAnsi="Didot" w:cs="Didot"/>
          <w:b/>
          <w:color w:val="121212"/>
          <w:sz w:val="22"/>
          <w:szCs w:val="22"/>
          <w:lang w:val="en-US"/>
        </w:rPr>
      </w:pPr>
    </w:p>
    <w:p w14:paraId="63F5ED29" w14:textId="77777777" w:rsidR="000D6A2E" w:rsidRPr="008B4D4B" w:rsidRDefault="000D6A2E" w:rsidP="008A7E29">
      <w:pPr>
        <w:widowControl w:val="0"/>
        <w:autoSpaceDE w:val="0"/>
        <w:autoSpaceDN w:val="0"/>
        <w:adjustRightInd w:val="0"/>
        <w:spacing w:after="200"/>
        <w:jc w:val="both"/>
        <w:rPr>
          <w:rFonts w:ascii="Didot" w:hAnsi="Didot" w:cs="Didot"/>
          <w:b/>
          <w:color w:val="121212"/>
          <w:sz w:val="22"/>
          <w:szCs w:val="22"/>
          <w:lang w:val="en-US"/>
        </w:rPr>
      </w:pPr>
      <w:r w:rsidRPr="008B4D4B">
        <w:rPr>
          <w:rFonts w:ascii="Didot" w:hAnsi="Didot" w:cs="Didot"/>
          <w:b/>
          <w:color w:val="121212"/>
          <w:sz w:val="22"/>
          <w:szCs w:val="22"/>
          <w:lang w:val="en-US"/>
        </w:rPr>
        <w:t>The Western Cape Government's New Integrated Provincial Violence Prevention Policy Framework: Successes and Challenges</w:t>
      </w:r>
    </w:p>
    <w:p w14:paraId="6C982691" w14:textId="77777777" w:rsidR="00540C57" w:rsidRPr="008B4D4B" w:rsidRDefault="000D6A2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In August 2013, the Western Cape Government adopted an Integrated Provincial Violence Prevention Policy Framework initiated by the provincial Department of Health in response to the unusually high incidence of, and health burden arising from, interpersonal violence. The Policy Framework encompasses a more comprehensive intersectoral approach to the prevention of violence than the traditional criminal justice and security-centred approach typically promoted in South Africa as the conventional wisdom.  It aims to bring coherence and clarity to the government's objectives in the field of violence prevention by way of a whole-of-government approach </w:t>
      </w:r>
      <w:proofErr w:type="gramStart"/>
      <w:r w:rsidRPr="008B4D4B">
        <w:rPr>
          <w:rFonts w:ascii="Didot" w:hAnsi="Didot" w:cs="Didot"/>
          <w:color w:val="121212"/>
          <w:sz w:val="22"/>
          <w:szCs w:val="22"/>
          <w:lang w:val="en-US"/>
        </w:rPr>
        <w:t>encompassing  all</w:t>
      </w:r>
      <w:proofErr w:type="gramEnd"/>
      <w:r w:rsidRPr="008B4D4B">
        <w:rPr>
          <w:rFonts w:ascii="Didot" w:hAnsi="Didot" w:cs="Didot"/>
          <w:color w:val="121212"/>
          <w:sz w:val="22"/>
          <w:szCs w:val="22"/>
          <w:lang w:val="en-US"/>
        </w:rPr>
        <w:t xml:space="preserve"> sectors. The Policy Framework attempts to balance short-term evidence-based interventions, such as reducing the availability and harmful use of alcohol, with longer term interventions that address complex social norms that support violence, and which are necessary to effect a fundamental and sustained reduction in violence in the next 30 years.  It is consonant with a "whole-of-society" approach current in the South African polity to policy formulation and implementation, and is underpinned by the public health-centred guidelines set out by the international Global Campaign for the Prevention of Violence. The Policy Framework supports evidence-based approaches for violence prevention and a review and consultation process aimed at aligning existing performance priorities and deliverables across departments.  One year after its adoption we review the uptake of this policy and reflect on some of its early successes as well as barriers to its implementation. We identify early resistance arising from its conflict with intra-departmental priorities, the impact of competing policies and directives, and we propose recommendations to support its uptake. This include the establishment of a surveillance site/observatory to provide evaluate effectiveness in local conditions, and a stronger oversight mechanism to improve adherence and perform stewardship and evaluative functions for funded interventions.</w:t>
      </w:r>
    </w:p>
    <w:p w14:paraId="240C7F5D" w14:textId="77777777" w:rsidR="008438EF" w:rsidRPr="006916FC" w:rsidRDefault="008438EF" w:rsidP="008A7E29">
      <w:pPr>
        <w:pBdr>
          <w:bottom w:val="single" w:sz="6" w:space="1" w:color="auto"/>
        </w:pBdr>
        <w:jc w:val="both"/>
        <w:rPr>
          <w:rFonts w:ascii="Didot" w:eastAsiaTheme="majorEastAsia" w:hAnsi="Didot" w:cs="Didot"/>
          <w:b/>
          <w:bCs/>
          <w:lang w:val="en-US"/>
        </w:rPr>
      </w:pPr>
    </w:p>
    <w:p w14:paraId="0E7EE1D6" w14:textId="77777777" w:rsidR="00160E26" w:rsidRPr="006916FC" w:rsidRDefault="00160E26" w:rsidP="008A7E29">
      <w:pPr>
        <w:jc w:val="both"/>
        <w:rPr>
          <w:rFonts w:ascii="Didot" w:hAnsi="Didot" w:cs="Didot"/>
          <w:lang w:val="en-US"/>
        </w:rPr>
        <w:sectPr w:rsidR="00160E26" w:rsidRPr="006916FC" w:rsidSect="003D6AB9">
          <w:headerReference w:type="default" r:id="rId10"/>
          <w:footerReference w:type="even" r:id="rId11"/>
          <w:footerReference w:type="default" r:id="rId12"/>
          <w:pgSz w:w="12240" w:h="15840" w:code="1"/>
          <w:pgMar w:top="1380" w:right="1680" w:bottom="280" w:left="1520" w:header="720" w:footer="720" w:gutter="0"/>
          <w:cols w:space="720"/>
          <w:docGrid w:linePitch="299"/>
        </w:sectPr>
      </w:pPr>
    </w:p>
    <w:p w14:paraId="2EEF04CA" w14:textId="77777777" w:rsidR="009B55FC" w:rsidRDefault="009B55FC" w:rsidP="009B55FC">
      <w:bookmarkStart w:id="7" w:name="_Toc272639881"/>
    </w:p>
    <w:p w14:paraId="6C9DAA10" w14:textId="31D95CF4" w:rsidR="002B35BA" w:rsidRPr="009B55FC" w:rsidRDefault="002B35BA" w:rsidP="009B55FC">
      <w:pPr>
        <w:rPr>
          <w:rFonts w:ascii="Didot" w:hAnsi="Didot" w:cs="Didot"/>
          <w:b/>
          <w:color w:val="121212"/>
          <w:lang w:val="en-US"/>
        </w:rPr>
      </w:pPr>
      <w:r w:rsidRPr="009B55FC">
        <w:rPr>
          <w:rFonts w:ascii="Didot" w:hAnsi="Didot" w:cs="Didot"/>
          <w:b/>
          <w:color w:val="121212"/>
          <w:lang w:val="en-US"/>
        </w:rPr>
        <w:t>Summary</w:t>
      </w:r>
      <w:bookmarkEnd w:id="7"/>
    </w:p>
    <w:p w14:paraId="46C48B3B" w14:textId="77777777" w:rsidR="003D6AB9" w:rsidRPr="006916FC" w:rsidRDefault="003D6AB9" w:rsidP="008A7E29">
      <w:pPr>
        <w:jc w:val="both"/>
        <w:rPr>
          <w:rFonts w:ascii="Didot" w:hAnsi="Didot" w:cs="Didot"/>
        </w:rPr>
      </w:pPr>
    </w:p>
    <w:p w14:paraId="7D1E355D" w14:textId="091A428E" w:rsidR="003D6AB9" w:rsidRPr="006916FC" w:rsidRDefault="003D6AB9" w:rsidP="008A7E29">
      <w:pPr>
        <w:widowControl w:val="0"/>
        <w:autoSpaceDE w:val="0"/>
        <w:autoSpaceDN w:val="0"/>
        <w:adjustRightInd w:val="0"/>
        <w:spacing w:after="200"/>
        <w:jc w:val="both"/>
        <w:rPr>
          <w:rFonts w:ascii="Didot" w:hAnsi="Didot" w:cs="Didot"/>
          <w:color w:val="121212"/>
        </w:rPr>
      </w:pPr>
      <w:r w:rsidRPr="006916FC">
        <w:rPr>
          <w:rFonts w:ascii="Didot" w:hAnsi="Didot" w:cs="Didot"/>
          <w:b/>
          <w:color w:val="121212"/>
          <w:lang w:val="en-US"/>
        </w:rPr>
        <w:t>The Western Cape Government's New Integrated Provincial Violence Prevention Policy Framework: Successes and Challenges</w:t>
      </w:r>
    </w:p>
    <w:p w14:paraId="34AA9A6C" w14:textId="77777777" w:rsidR="00540C57" w:rsidRPr="008B4D4B" w:rsidRDefault="00540C57" w:rsidP="008A7E29">
      <w:pPr>
        <w:jc w:val="both"/>
        <w:rPr>
          <w:rFonts w:ascii="Didot" w:hAnsi="Didot" w:cs="Didot"/>
          <w:sz w:val="22"/>
          <w:szCs w:val="22"/>
        </w:rPr>
      </w:pPr>
      <w:bookmarkStart w:id="8" w:name="_Toc272639882"/>
      <w:r w:rsidRPr="008B4D4B">
        <w:rPr>
          <w:rFonts w:ascii="Didot" w:hAnsi="Didot" w:cs="Didot"/>
          <w:sz w:val="22"/>
          <w:szCs w:val="22"/>
        </w:rPr>
        <w:t>Introduction</w:t>
      </w:r>
      <w:bookmarkEnd w:id="8"/>
      <w:r w:rsidRPr="008B4D4B">
        <w:rPr>
          <w:rFonts w:ascii="Didot" w:hAnsi="Didot" w:cs="Didot"/>
          <w:sz w:val="22"/>
          <w:szCs w:val="22"/>
        </w:rPr>
        <w:t xml:space="preserve"> </w:t>
      </w:r>
    </w:p>
    <w:p w14:paraId="0FF2E63F" w14:textId="77777777" w:rsidR="00540C57" w:rsidRPr="008B4D4B" w:rsidRDefault="00540C57" w:rsidP="008A7E29">
      <w:pPr>
        <w:jc w:val="both"/>
        <w:rPr>
          <w:rFonts w:ascii="Didot" w:hAnsi="Didot" w:cs="Didot"/>
          <w:sz w:val="22"/>
          <w:szCs w:val="22"/>
          <w:lang w:val="en-US"/>
        </w:rPr>
      </w:pPr>
    </w:p>
    <w:p w14:paraId="7477BD86"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In the Western Cape interpersonal violence places a massive burden on the public sector healthcare system and drains resources that could provide healthcare targeting other health needs and improve quality of life. Homicide was the second leading cause of premature mortality after HIV/Aids and homicide rates were 15% higher than other provinces in 2000 </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"author" : [ { "dropping-particle" : "", "family" : "Bradshaw", "given" : "Debbie", "non-dropping-particle" : "", "parse-names" : false, "suffix" : "" }, { "dropping-particle" : "", "family" : "Nannan", "given" : "Nadine", "non-dropping-particle" : "", "parse-names" : false, "suffix" : "" }, { "dropping-particle" : "", "family" : "Laubscher", "given" : "Ria", "non-dropping-particle" : "", "parse-names" : false, "suffix" : "" }, { "dropping-particle" : "", "family" : "Groenewald", "given" : "Pam", "non-dropping-particle" : "", "parse-names" : false, "suffix" : "" }, { "dropping-particle" : "", "family" : "Joubert", "given" : "Jane", "non-dropping-particle" : "", "parse-names" : false, "suffix" : "" }, { "dropping-particle" : "", "family" : "Nojilana", "given" : "Beatrice", "non-dropping-particle" : "", "parse-names" : false, "suffix" : "" }, { "dropping-particle" : "", "family" : "Norman", "given" : "Rosana", "non-dropping-particle" : "", "parse-names" : false, "suffix" : "" }, { "dropping-particle" : "", "family" : "Pieterse", "given" : "Desiree", "non-dropping-particle" : "", "parse-names" : false, "suffix" : "" }, { "dropping-particle" : "", "family" : "Schneider", "given" : "Michelle", "non-dropping-particle" : "", "parse-names" : false, "suffix" : "" } ], "id" : "ITEM-1", "issued" : { "date-parts" : [ [ "2004" ] ] }, "publisher" : "Medical Research Council", "publisher-place" : "Tygerberg", "title" : "South African National Burden of Disease Study 2000: Estimates of Provincial Mortality", "type" : "report" }, "uris" : [ "http://www.mendeley.com/documents/?uuid=0fd948b9-e748-4324-b359-6c3c531a5091" ] } ], "mendeley" : { "previouslyFormattedCitation" : "&lt;sup&gt;1&lt;/sup&gt;"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1</w:t>
      </w:r>
      <w:r w:rsidR="00AF1CEC" w:rsidRPr="008B4D4B">
        <w:rPr>
          <w:rFonts w:ascii="Didot" w:hAnsi="Didot" w:cs="Didot"/>
          <w:sz w:val="22"/>
          <w:szCs w:val="22"/>
          <w:lang w:val="en-US"/>
        </w:rPr>
        <w:fldChar w:fldCharType="end"/>
      </w:r>
      <w:r w:rsidRPr="008B4D4B">
        <w:rPr>
          <w:rFonts w:ascii="Didot" w:hAnsi="Didot" w:cs="Didot"/>
          <w:sz w:val="22"/>
          <w:szCs w:val="22"/>
          <w:lang w:val="en-US"/>
        </w:rPr>
        <w:t xml:space="preserve">.  The provincial Department of Health identified violence as one of five public health priorities in its Burden of Disease Reduction (BoD) Project initiated in 2007.  The project prioritised distal risk factors, the “causes of causes”, and upstream </w:t>
      </w:r>
      <w:r w:rsidRPr="008B4D4B">
        <w:rPr>
          <w:rFonts w:ascii="Didot" w:hAnsi="Didot" w:cs="Didot"/>
          <w:sz w:val="22"/>
          <w:szCs w:val="22"/>
          <w:lang w:val="en-US"/>
        </w:rPr>
        <w:lastRenderedPageBreak/>
        <w:t>interventions typically in sectors other than health – an approach consonant with emerging recommendations from the WHO Commission on the Social Determinants of Health</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"author" : [ { "dropping-particle" : "", "family" : "HEalth", "given" : "W H O Commission on Social Determinants of", "non-dropping-particle" : "", "parse-names" : false, "suffix" : "" } ], "id" : "ITEM-1", "issued" : { "date-parts" : [ [ "2005" ] ] }, "note" : "ID: 151; RP: IN FILE", "publisher" : "World Health Organisation", "publisher-place" : "Geneva", "title" : "Action on the social determinants of health: Learning from previous experiences", "type" : "book" }, "uris" : [ "http://www.mendeley.com/documents/?uuid=080dfea5-280b-41c1-9e4a-dafbac561dcf" ] } ], "mendeley" : { "manualFormatting" : "(Health, 2005)", "previouslyFormattedCitation" : "&lt;sup&gt;2&lt;/sup&gt;"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(Health, 2005)</w:t>
      </w:r>
      <w:r w:rsidR="00AF1CEC" w:rsidRPr="008B4D4B">
        <w:rPr>
          <w:rFonts w:ascii="Didot" w:hAnsi="Didot" w:cs="Didot"/>
          <w:sz w:val="22"/>
          <w:szCs w:val="22"/>
          <w:lang w:val="en-US"/>
        </w:rPr>
        <w:fldChar w:fldCharType="end"/>
      </w:r>
      <w:r w:rsidRPr="008B4D4B">
        <w:rPr>
          <w:rFonts w:ascii="Didot" w:hAnsi="Didot" w:cs="Didot"/>
          <w:sz w:val="22"/>
          <w:szCs w:val="22"/>
          <w:lang w:val="en-US"/>
        </w:rPr>
        <w:t>.</w:t>
      </w:r>
    </w:p>
    <w:p w14:paraId="30AEB830" w14:textId="77777777" w:rsidR="00540C57" w:rsidRPr="008B4D4B" w:rsidRDefault="00540C57" w:rsidP="008A7E29">
      <w:pPr>
        <w:jc w:val="both"/>
        <w:rPr>
          <w:rFonts w:ascii="Didot" w:hAnsi="Didot" w:cs="Didot"/>
          <w:sz w:val="22"/>
          <w:szCs w:val="22"/>
          <w:lang w:val="en-US"/>
        </w:rPr>
      </w:pPr>
    </w:p>
    <w:p w14:paraId="39DCE2AE"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The BoD project’s alignment with the intervention approach and recommendations of the World report on violence and health, which were endorsed by the 2003 World Health Assembly in Resolution WHA56.24, resulted in international recognition. The project was presented at consecutive WHO-hosted “Milestones Meetings” in Scotland in 2007 and Geneva in 2009 as part of the Global Campaign for Violence Prevention.  In September 2011, the Western Cape Government (WCG) hosted the 5th Milestones in collaboration with the National Department of Health and the WHO under the theme "Joining forces, empowering prevention". The meeting drew almost 300 experts from more than 60 countries to discuss progress, present new evidence and explore opportunities for increased collaboration between role-players in different sectors, particularly health, social development, and criminal justice. The meeting emphasised the need for policy and programme delivery targets for violence prevention and the WCG was encouraged to put in place an integrated intersectoral policy framework to guide its violence prevention strategy according to a data-driven, evidence-based prevention approach, consistent the policies applied in the Colombian cities of Cali and Bogotá </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"author" : [ { "dropping-particle" : "", "family" : "Guerrero", "given" : "R", "non-dropping-particle" : "", "parse-names" : false, "suffix" : "" } ], "container-title" : "African Safety Promotion: a journal of injury and violence prevention", "id" : "ITEM-1", "issue" : "2", "issued" : { "date-parts" : [ [ "2006" ] ] }, "page" : "88-98", "title" : "Violence prevention through multi-sectoral partnerships: the cases of Cali and Bogot\u00e1, Colombia", "type" : "article-journal", "volume" : "4" }, "uris" : [ "http://www.mendeley.com/documents/?uuid=0a9f66b2-daec-4c3e-a3ee-060c5a04fdee" ] } ], "mendeley" : { "previouslyFormattedCitation" : "&lt;sup&gt;3&lt;/sup&gt;"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3</w:t>
      </w:r>
      <w:r w:rsidR="00AF1CEC" w:rsidRPr="008B4D4B">
        <w:rPr>
          <w:rFonts w:ascii="Didot" w:hAnsi="Didot" w:cs="Didot"/>
          <w:sz w:val="22"/>
          <w:szCs w:val="22"/>
          <w:lang w:val="en-US"/>
        </w:rPr>
        <w:fldChar w:fldCharType="end"/>
      </w:r>
      <w:r w:rsidRPr="008B4D4B">
        <w:rPr>
          <w:rFonts w:ascii="Didot" w:hAnsi="Didot" w:cs="Didot"/>
          <w:sz w:val="22"/>
          <w:szCs w:val="22"/>
          <w:lang w:val="en-US"/>
        </w:rPr>
        <w:t xml:space="preserve">. </w:t>
      </w:r>
    </w:p>
    <w:p w14:paraId="69F0ED7F" w14:textId="77777777" w:rsidR="00540C57" w:rsidRPr="008B4D4B" w:rsidRDefault="00540C57" w:rsidP="008A7E29">
      <w:pPr>
        <w:jc w:val="both"/>
        <w:rPr>
          <w:rFonts w:ascii="Didot" w:hAnsi="Didot" w:cs="Didot"/>
          <w:sz w:val="22"/>
          <w:szCs w:val="22"/>
          <w:lang w:val="en-US"/>
        </w:rPr>
      </w:pPr>
    </w:p>
    <w:p w14:paraId="5AD41B7E"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The Policy Framework, adopted in August 2013, recognises that successful implementation will require the co-operation of all role-players within government, particularly the health, criminal justice, educational and social development sectors, and also to encourage the active participation and partnership of citizens and civil society more broadly. The public health approach and the whole-of-society approach provide the theoretical basis for this convergence. The Policy Framework highlights proven and promising prevention strategies to prevent violence and reduce its impact and requires that efficiency is achieved by directing funding to programmes and initiatives that are effective and that target high-risk times, places and groups at-risk. </w:t>
      </w:r>
    </w:p>
    <w:p w14:paraId="162FA25E" w14:textId="77777777" w:rsidR="00160E26" w:rsidRPr="008B4D4B" w:rsidRDefault="00160E26" w:rsidP="008A7E29">
      <w:pPr>
        <w:jc w:val="both"/>
        <w:rPr>
          <w:rFonts w:ascii="Didot" w:hAnsi="Didot" w:cs="Didot"/>
          <w:sz w:val="22"/>
          <w:szCs w:val="22"/>
        </w:rPr>
        <w:sectPr w:rsidR="00160E26" w:rsidRPr="008B4D4B" w:rsidSect="00160E26">
          <w:type w:val="continuous"/>
          <w:pgSz w:w="12240" w:h="15840" w:code="1"/>
          <w:pgMar w:top="1380" w:right="1680" w:bottom="280" w:left="1520" w:header="720" w:footer="720" w:gutter="0"/>
          <w:cols w:space="720"/>
          <w:docGrid w:linePitch="299"/>
        </w:sectPr>
      </w:pPr>
    </w:p>
    <w:p w14:paraId="3C74B1B6" w14:textId="77777777" w:rsidR="00540C57" w:rsidRPr="008B4D4B" w:rsidRDefault="00540C57" w:rsidP="008A7E29">
      <w:pPr>
        <w:jc w:val="both"/>
        <w:rPr>
          <w:rFonts w:ascii="Didot" w:hAnsi="Didot" w:cs="Didot"/>
          <w:sz w:val="22"/>
          <w:szCs w:val="22"/>
        </w:rPr>
      </w:pPr>
      <w:bookmarkStart w:id="9" w:name="_Toc272639883"/>
      <w:r w:rsidRPr="008B4D4B">
        <w:rPr>
          <w:rFonts w:ascii="Didot" w:hAnsi="Didot" w:cs="Didot"/>
          <w:sz w:val="22"/>
          <w:szCs w:val="22"/>
        </w:rPr>
        <w:lastRenderedPageBreak/>
        <w:t>Review of the evidence</w:t>
      </w:r>
      <w:bookmarkEnd w:id="9"/>
    </w:p>
    <w:p w14:paraId="63D26A7B" w14:textId="77777777" w:rsidR="00540C57" w:rsidRPr="008B4D4B" w:rsidRDefault="00540C57" w:rsidP="008A7E29">
      <w:pPr>
        <w:jc w:val="both"/>
        <w:rPr>
          <w:rFonts w:ascii="Didot" w:hAnsi="Didot" w:cs="Didot"/>
          <w:sz w:val="22"/>
          <w:szCs w:val="22"/>
          <w:lang w:val="en-US"/>
        </w:rPr>
      </w:pPr>
    </w:p>
    <w:p w14:paraId="1A4BE8F2" w14:textId="77777777" w:rsidR="00160E26" w:rsidRPr="008B4D4B" w:rsidRDefault="00160E26" w:rsidP="008A7E29">
      <w:pPr>
        <w:jc w:val="both"/>
        <w:rPr>
          <w:rFonts w:ascii="Didot" w:hAnsi="Didot" w:cs="Didot"/>
          <w:sz w:val="22"/>
          <w:szCs w:val="22"/>
          <w:lang w:val="en-US"/>
        </w:rPr>
        <w:sectPr w:rsidR="00160E26" w:rsidRPr="008B4D4B" w:rsidSect="003D6AB9">
          <w:type w:val="continuous"/>
          <w:pgSz w:w="12240" w:h="15840" w:code="1"/>
          <w:pgMar w:top="1380" w:right="1680" w:bottom="280" w:left="1520" w:header="720" w:footer="720" w:gutter="0"/>
          <w:cols w:space="720"/>
          <w:docGrid w:linePitch="299"/>
        </w:sectPr>
      </w:pPr>
    </w:p>
    <w:p w14:paraId="6D3453D8"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lastRenderedPageBreak/>
        <w:t xml:space="preserve">A selection of the risks that feature prominently in the Policy Framework delineated according to an ecological model include, at the biological level, the disproportionately high burden of violence directed at males, compared to the global ratio, especially among youths and young adults. Notwithstanding, rates of violence against females, sexual assaults in particular, are also considerably higher than global averages. </w:t>
      </w:r>
    </w:p>
    <w:p w14:paraId="0B816DB3" w14:textId="77777777" w:rsidR="00540C57" w:rsidRPr="008B4D4B" w:rsidRDefault="00540C57" w:rsidP="008A7E29">
      <w:pPr>
        <w:jc w:val="both"/>
        <w:rPr>
          <w:rFonts w:ascii="Didot" w:hAnsi="Didot" w:cs="Didot"/>
          <w:sz w:val="22"/>
          <w:szCs w:val="22"/>
          <w:lang w:val="en-US"/>
        </w:rPr>
      </w:pPr>
    </w:p>
    <w:p w14:paraId="7F5A129D"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Mental health problems that increase the risk of victimisation and, in some cases, predispose individuals to violent or aggressive behaviour constitute important risks, whether they have biological roots, or develop following exposure to a wide range of risks for mental health disorders. Hyperactivity, impulsiveness, misconduct, and attention problems experienced in early childhood are important examples that may predispose youths and young adults to display violent and aggressive behaviour. </w:t>
      </w:r>
    </w:p>
    <w:p w14:paraId="3D88FFC8"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Several South African studies demonstrate high rates of exposure to violence and associated mental health problems across diverse population groups</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"author" : [ { "dropping-particle" : "", "family" : "Kopel", "given" : "H", "non-dropping-particle" : "", "parse-names" : false, "suffix" : "" }, { "dropping-particle" : "", "family" : "Friedman", "given" : "M", "non-dropping-particle" : "", "parse-names" : false, "suffix" : "" } ], "container-title" : "Journal of traumatic stress", "id" : "ITEM-1", "issued" : { "date-parts" : [ [ "1997" ] ] }, "note" : "ID: 203; RP: IN FILE", "page" : "307-317", "title" : "Posttraumatic symptoms in South African police exposed to violence", "type" : "article-journal", "volume" : "10" }, "uris" : [ "http://www.mendeley.com/documents/?uuid=01909791-f676-4475-88b3-bc94083c44c6" ] }, { "id" : "ITEM-2", "itemData" : { "author" : [ { "dropping-particle" : "", "family" : "Morojele", "given" : "N K", "non-dropping-particle" : "", "parse-names" : false, "suffix" : "" }, { "dropping-particle" : "", "family" : "Brook", "given" : "J S", "non-dropping-particle" : "", "parse-names" : false, "suffix" : "" } ], "container-title" : "Addictive Behaviors", "id" : "ITEM-2", "issued" : { "date-parts" : [ [ "2006" ] ] }, "note" : "ID: 205; RP: IN FILE", "page" : "1163-1176", "title" : "Substance abuse and multiple victimisation among adolescents in South Africa", "type" : "article-journal", "volume" : "31" }, "uris" : [ "http://www.mendeley.com/documents/?uuid=b369ee16-9eca-44d7-baa6-157fab3285dc" ] }, { "id" : "ITEM-3", "itemData" : { "author" : [ { "dropping-particle" : "", "family" : "Peltzer", "given" : "K", "non-dropping-particle" : "", "parse-names" : false, "suffix" : "" } ], "container-title" : "Psychological reports", "id" : "ITEM-3", "issued" : { "date-parts" : [ [ "1999" ] ] }, "note" : "ID: 208; RP: IN FILE", "page" : "646-650", "title" : "Posttraumatic stress symptoms in a population of rural children in South Africa", "type" : "article-journal", "volume" : "85" }, "uris" : [ "http://www.mendeley.com/documents/?uuid=b86dc5b8-ffec-447e-b7a5-64c585fcffc1" ] }, { "id" : "ITEM-4", "itemData" : { "author" : [ { "dropping-particle" : "", "family" : "Seedat", "given" : "S", "non-dropping-particle" : "", "parse-names" : false, "suffix" : "" }, { "dropping-particle" : "", "family" : "Nyamai", "given" : "C", "non-dropping-particle" : "", "parse-names" : false, "suffix" : "" }, { "dropping-particle" : "", "family" : "Njenga", "given" : "F", "non-dropping-particle" : "", "parse-names" : false, "suffix" : "" }, { "dropping-particle" : "", "family" : "Vythilingum", "given" : "B", "non-dropping-particle" : "", "parse-names" : false, "suffix" : "" }, { "dropping-particle" : "", "family" : "Stein", "given" : "D", "non-dropping-particle" : "", "parse-names" : false, "suffix" : "" } ], "container-title" : "British Journal of Psychiatry", "id" : "ITEM-4", "issued" : { "date-parts" : [ [ "2004" ] ] }, "note" : "ID: 1084; RP: NOT IN FILE", "page" : "169-175", "title" : "Trauma exposure and post-traumatic stress symptoms in urban African schools. Survey in CapeTown and Nairobi", "type" : "article-journal", "volume" : "184" }, "uris" : [ "http://www.mendeley.com/documents/?uuid=a14e455a-7f46-4f3c-b2af-3f5de9a6daa2" ] }, { "id" : "ITEM-5", "itemData" : { "author" : [ { "dropping-particle" : "", "family" : "Ward", "given" : "C", "non-dropping-particle" : "", "parse-names" : false, "suffix" : "" }, { "dropping-particle" : "", "family" : "Flisher", "given" : "A J", "non-dropping-particle" : "", "parse-names" : false, "suffix" : "" }, { "dropping-particle" : "", "family" : "Zissis", "given" : "C", "non-dropping-particle" : "", "parse-names" : false, "suffix" : "" }, { "dropping-particle" : "", "family" : "Muller", "given" : "M", "non-dropping-particle" : "", "parse-names" : false, "suffix" : "" }, { "dropping-particle" : "", "family" : "Lombard", "given" : "C", "non-dropping-particle" : "", "parse-names" : false, "suffix" : "" } ], "container-title" : "Injury Prevention", "id" : "ITEM-5", "issued" : { "date-parts" : [ [ "2001" ] ] }, "note" : "ID: 318; RP: IN FILE", "page" : "297-301", "title" : "Exposure to violennce and associated psychopathology in adolescents", "type" : "article-journal", "volume" : "7" }, "uris" : [ "http://www.mendeley.com/documents/?uuid=d8c6cff8-8a17-482f-8907-f6d2c948287e" ] } ], "mendeley" : { "previouslyFormattedCitation" : "&lt;sup&gt;4\u20138&lt;/sup&gt;"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4–8</w:t>
      </w:r>
      <w:r w:rsidR="00AF1CEC" w:rsidRPr="008B4D4B">
        <w:rPr>
          <w:rFonts w:ascii="Didot" w:hAnsi="Didot" w:cs="Didot"/>
          <w:sz w:val="22"/>
          <w:szCs w:val="22"/>
          <w:lang w:val="en-US"/>
        </w:rPr>
        <w:fldChar w:fldCharType="end"/>
      </w:r>
      <w:r w:rsidRPr="008B4D4B">
        <w:rPr>
          <w:rFonts w:ascii="Didot" w:hAnsi="Didot" w:cs="Didot"/>
          <w:sz w:val="22"/>
          <w:szCs w:val="22"/>
          <w:lang w:val="en-US"/>
        </w:rPr>
        <w:t>. This can perpetuate a cycle of violence, alcohol abuse and mental health problems, as exposure to intimate partner violence as a child contributes to violent behaviour in adults</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"ISSN" : "0090-0036 (Print)", "abstract" : "OBJECTIVES: We sought to assess the effects of witnessing violence against their mothers in childhood on men's use of violence in a range of settings in adulthood. METHODS: We conducted a cross-sectional questionnaire survey of 1368 randomly selected male municipal workers in Cape Town, South Africa. RESULTS: Almost a quarter (23.5%; 95% confidence interval [CI]=21.2, 25.7) of the men reported witnessing abuse of their mother, and having witnessed such events was associated with men's later involvement in physical conflicts in their community (odds ratio [OR]=1.72; 95% CI=1.29, 2.30) and at their place of work (OR = 1.83; 95% CI = 1.30, 2.58), use of physical violence against their partners (OR = 2.61; 95% CI = 1.94, 3.54), and arrest for possession of illegal firearms (OR=2.86; 95% CI=1.29, 6.32). CONCLUSIONS: Our results show strong links between \"publicly\" violent behavior among men and childhood experiences of \"private\" violence against their mothers. Prevention of domestic violence is essential both in its own right and as part of efforts to reduce broader violence and crime in society.", "author" : [ { "dropping-particle" : "", "family" : "Abrahams", "given" : "Naeemah", "non-dropping-particle" : "", "parse-names" : false, "suffix" : "" }, { "dropping-particle" : "", "family" : "Jewkes", "given" : "Rachel", "non-dropping-particle" : "", "parse-names" : false, "suffix" : "" } ], "container-title" : "American Journal of Public Health", "id" : "ITEM-1", "issue" : "10", "issued" : { "date-parts" : [ [ "2005" ] ] }, "note" : "Language: English. Date Revised: 20061115. Date Created: 20050927. Date Completed: 20051114. Update Code: 20061223. Publication Type: Journal Article; Research Support, Non-U.S. Gov't. Journal ID: 1254074. Publication Model: Print-Electronic. Cited Medium: Print", "page" : "1811-1816", "publisher-place" : "Gender and Health Research Unit, Medical Research Council, PO Box 19070, Tygerberg 7505, South Africa. naeema.abrahams@mrc.ac.za", "title" : "Effects of South African men's having witnessed abuse of their mothers during childhood on their levels of violence in adulthood", "type" : "article-journal", "volume" : "95" }, "uris" : [ "http://www.mendeley.com/documents/?uuid=86f28e7d-0e42-4a14-9752-9f6b082c487e" ] } ], "mendeley" : { "previouslyFormattedCitation" : "&lt;sup&gt;9&lt;/sup&gt;"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9</w:t>
      </w:r>
      <w:r w:rsidR="00AF1CEC" w:rsidRPr="008B4D4B">
        <w:rPr>
          <w:rFonts w:ascii="Didot" w:hAnsi="Didot" w:cs="Didot"/>
          <w:sz w:val="22"/>
          <w:szCs w:val="22"/>
          <w:lang w:val="en-US"/>
        </w:rPr>
        <w:fldChar w:fldCharType="end"/>
      </w:r>
      <w:r w:rsidRPr="008B4D4B">
        <w:rPr>
          <w:rFonts w:ascii="Didot" w:hAnsi="Didot" w:cs="Didot"/>
          <w:sz w:val="22"/>
          <w:szCs w:val="22"/>
          <w:lang w:val="en-US"/>
        </w:rPr>
        <w:t xml:space="preserve">. </w:t>
      </w:r>
    </w:p>
    <w:p w14:paraId="4BC9611D" w14:textId="77777777" w:rsidR="00540C57" w:rsidRPr="008B4D4B" w:rsidRDefault="00540C57" w:rsidP="008A7E29">
      <w:pPr>
        <w:jc w:val="both"/>
        <w:rPr>
          <w:rFonts w:ascii="Didot" w:hAnsi="Didot" w:cs="Didot"/>
          <w:sz w:val="22"/>
          <w:szCs w:val="22"/>
          <w:lang w:val="en-US"/>
        </w:rPr>
      </w:pPr>
    </w:p>
    <w:p w14:paraId="079F7DFD"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The relationship between violence, mental health and alcohol is well-documented </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"author" : [ { "dropping-particle" : "", "family" : "Corrigall", "given" : "Joanne", "non-dropping-particle" : "", "parse-names" : false, "suffix" : "" }, { "dropping-particle" : "", "family" : "Matzopoulos", "given" : "Richard", "non-dropping-particle" : "", "parse-names" : false, "suffix" : "" } ], "chapter-number" : "8.", "container-title" : "South African Health Review 2012/13", "edition" : "2012/2013", "editor" : [ { "dropping-particle" : "", "family" : "Padarath", "given" : "Ashnie", "non-dropping-particle" : "", "parse-names" : false, "suffix" : "" }, { "dropping-particle" : "", "family" : "English", "given" : "Rene", "non-dropping-particle" : "", "parse-names" : false, "suffix" : "" } ], "id" : "ITEM-1", "issued" : { "date-parts" : [ [ "2013" ] ] }, "page" : "103-114", "publisher" : "Health Systems Trust", "publisher-place" : "Durban", "title" : "Violence, alcohol misuse and mental health: gaps in the health system\u2019s response", "type" : "chapter" }, "uris" : [ "http://www.mendeley.com/documents/?uuid=29bfa5c9-b563-4e55-8aa4-ddeca7804191" ] } ], "mendeley" : { "previouslyFormattedCitation" : "&lt;sup&gt;10&lt;/sup&gt;"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10</w:t>
      </w:r>
      <w:r w:rsidR="00AF1CEC" w:rsidRPr="008B4D4B">
        <w:rPr>
          <w:rFonts w:ascii="Didot" w:hAnsi="Didot" w:cs="Didot"/>
          <w:sz w:val="22"/>
          <w:szCs w:val="22"/>
          <w:lang w:val="en-US"/>
        </w:rPr>
        <w:fldChar w:fldCharType="end"/>
      </w:r>
      <w:r w:rsidRPr="008B4D4B">
        <w:rPr>
          <w:rFonts w:ascii="Didot" w:hAnsi="Didot" w:cs="Didot"/>
          <w:sz w:val="22"/>
          <w:szCs w:val="22"/>
          <w:lang w:val="en-US"/>
        </w:rPr>
        <w:t xml:space="preserve"> and several studies have found a link between alcohol and child abuse and intimate-partner violence across different settings. Intoxicated people are more likely to become victims of violence and in the Western Cape in 1999, 58% of homicides had elevated blood alcohol concentrations at the time of death.</w:t>
      </w:r>
    </w:p>
    <w:p w14:paraId="0CB10E55" w14:textId="77777777" w:rsidR="00540C57" w:rsidRPr="008B4D4B" w:rsidRDefault="00540C57" w:rsidP="008A7E29">
      <w:pPr>
        <w:jc w:val="both"/>
        <w:rPr>
          <w:rFonts w:ascii="Didot" w:hAnsi="Didot" w:cs="Didot"/>
          <w:sz w:val="22"/>
          <w:szCs w:val="22"/>
        </w:rPr>
      </w:pPr>
    </w:p>
    <w:p w14:paraId="7F7F87ED"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Among the many socio-cultural factors, the structure, behavior and cohesiveness of the family unit</w:t>
      </w:r>
      <w:r w:rsidRPr="008B4D4B" w:rsidDel="00074C98">
        <w:rPr>
          <w:rFonts w:ascii="Didot" w:hAnsi="Didot" w:cs="Didot"/>
          <w:sz w:val="22"/>
          <w:szCs w:val="22"/>
        </w:rPr>
        <w:t xml:space="preserve"> </w:t>
      </w:r>
      <w:r w:rsidRPr="008B4D4B">
        <w:rPr>
          <w:rFonts w:ascii="Didot" w:hAnsi="Didot" w:cs="Didot"/>
          <w:sz w:val="22"/>
          <w:szCs w:val="22"/>
        </w:rPr>
        <w:t xml:space="preserve">is particularly influential in a child’s tendency towards aggressive or violent behavior. Risks prevalent in the Western Cape include a family having a large number of children, a mother having a child at a young age, a low level of family cohesion, single parent households, low socioeconomic status, and abusive parental behaviour including harsh physical punishment and parental conflict. Abrahams et al. found that 23.5% of men from three municipalities in the Western Cape witnessed abuse of their mothers, which was found to be associated with later use of intimate-partner, and other forms of violence in the community and at their workplace. </w:t>
      </w:r>
    </w:p>
    <w:p w14:paraId="5A8E8003" w14:textId="77777777" w:rsidR="00540C57" w:rsidRPr="008B4D4B" w:rsidRDefault="00540C57" w:rsidP="008A7E29">
      <w:pPr>
        <w:jc w:val="both"/>
        <w:rPr>
          <w:rFonts w:ascii="Didot" w:hAnsi="Didot" w:cs="Didot"/>
          <w:sz w:val="22"/>
          <w:szCs w:val="22"/>
        </w:rPr>
      </w:pPr>
    </w:p>
    <w:p w14:paraId="27D1E91B"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 xml:space="preserve">During </w:t>
      </w:r>
      <w:proofErr w:type="gramStart"/>
      <w:r w:rsidRPr="008B4D4B">
        <w:rPr>
          <w:rFonts w:ascii="Didot" w:hAnsi="Didot" w:cs="Didot"/>
          <w:sz w:val="22"/>
          <w:szCs w:val="22"/>
        </w:rPr>
        <w:t>adolescence ,</w:t>
      </w:r>
      <w:proofErr w:type="gramEnd"/>
      <w:r w:rsidRPr="008B4D4B">
        <w:rPr>
          <w:rFonts w:ascii="Didot" w:hAnsi="Didot" w:cs="Didot"/>
          <w:sz w:val="22"/>
          <w:szCs w:val="22"/>
        </w:rPr>
        <w:t xml:space="preserve"> having violent friends influences the likelihood of a young person engaging in violence and increases the risk of engaging in other delinquent behaviours. Activities relating to gangs, guns, and drugs tend to drive increases in the rate of violence within neighbourhoods and the psychological imprint of these experiences expose children to a range of severe negative mental-health outcomes. A survey amongst youths in the Western Cape revealed that approximately </w:t>
      </w:r>
      <w:proofErr w:type="gramStart"/>
      <w:r w:rsidRPr="008B4D4B">
        <w:rPr>
          <w:rFonts w:ascii="Didot" w:hAnsi="Didot" w:cs="Didot"/>
          <w:sz w:val="22"/>
          <w:szCs w:val="22"/>
        </w:rPr>
        <w:t>38%</w:t>
      </w:r>
      <w:proofErr w:type="gramEnd"/>
      <w:r w:rsidRPr="008B4D4B">
        <w:rPr>
          <w:rFonts w:ascii="Didot" w:hAnsi="Didot" w:cs="Didot"/>
          <w:sz w:val="22"/>
          <w:szCs w:val="22"/>
        </w:rPr>
        <w:t xml:space="preserve"> of male school children and 8% of female learners had carried a weapon in the past 6 months </w:t>
      </w:r>
      <w:r w:rsidR="00AF1CEC" w:rsidRPr="008B4D4B">
        <w:rPr>
          <w:rFonts w:ascii="Didot" w:hAnsi="Didot" w:cs="Didot"/>
          <w:sz w:val="22"/>
          <w:szCs w:val="22"/>
        </w:rPr>
        <w:fldChar w:fldCharType="begin" w:fldLock="1"/>
      </w:r>
      <w:r w:rsidRPr="008B4D4B">
        <w:rPr>
          <w:rFonts w:ascii="Didot" w:hAnsi="Didot" w:cs="Didot"/>
          <w:sz w:val="22"/>
          <w:szCs w:val="22"/>
        </w:rPr>
        <w:instrText>ADDIN CSL_CITATION { "citationItems" : [ { "id" : "ITEM-1", "itemData" : { "ISBN" : "9781920014704", "author" : [ { "dropping-particle" : "", "family" : "Reddy SP, James S, Sewpaul R, Koopman F, Funani NI, Sifunda S, Josie J, Masuka P, Kambaran NS", "given" : "Omardien RG.", "non-dropping-particle" : "", "parse-names" : false, "suffix" : "" } ], "id" : "ITEM-1", "issued" : { "date-parts" : [ [ "2010" ] ] }, "title" : "The 2nd South African National Youth Risk Behaviour Survey: 2008", "type" : "book" }, "uris" : [ "http://www.mendeley.com/documents/?uuid=892f42ff-f349-406c-8b64-6eba07a7f2f8" ] } ], "mendeley" : { "previouslyFormattedCitation" : "&lt;sup&gt;12&lt;/sup&gt;" }, "properties" : { "noteIndex" : 0 }, "schema" : "https://github.com/citation-style-language/schema/raw/master/csl-citation.json" }</w:instrText>
      </w:r>
      <w:r w:rsidR="00AF1CEC" w:rsidRPr="008B4D4B">
        <w:rPr>
          <w:rFonts w:ascii="Didot" w:hAnsi="Didot" w:cs="Didot"/>
          <w:sz w:val="22"/>
          <w:szCs w:val="22"/>
        </w:rPr>
        <w:fldChar w:fldCharType="separate"/>
      </w:r>
      <w:r w:rsidRPr="008B4D4B">
        <w:rPr>
          <w:rFonts w:ascii="Didot" w:hAnsi="Didot" w:cs="Didot"/>
          <w:sz w:val="22"/>
          <w:szCs w:val="22"/>
        </w:rPr>
        <w:t>12</w:t>
      </w:r>
      <w:r w:rsidR="00AF1CEC" w:rsidRPr="008B4D4B">
        <w:rPr>
          <w:rFonts w:ascii="Didot" w:hAnsi="Didot" w:cs="Didot"/>
          <w:sz w:val="22"/>
          <w:szCs w:val="22"/>
        </w:rPr>
        <w:fldChar w:fldCharType="end"/>
      </w:r>
      <w:r w:rsidRPr="008B4D4B">
        <w:rPr>
          <w:rFonts w:ascii="Didot" w:hAnsi="Didot" w:cs="Didot"/>
          <w:sz w:val="22"/>
          <w:szCs w:val="22"/>
        </w:rPr>
        <w:t xml:space="preserve">. </w:t>
      </w:r>
    </w:p>
    <w:p w14:paraId="3AE86782" w14:textId="77777777" w:rsidR="00540C57" w:rsidRPr="008B4D4B" w:rsidRDefault="00540C57" w:rsidP="008A7E29">
      <w:pPr>
        <w:jc w:val="both"/>
        <w:rPr>
          <w:rFonts w:ascii="Didot" w:hAnsi="Didot" w:cs="Didot"/>
          <w:sz w:val="22"/>
          <w:szCs w:val="22"/>
        </w:rPr>
      </w:pPr>
    </w:p>
    <w:p w14:paraId="00D7B0A2"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Major social changes and demographic shifts resulting from migration, urbanisation and industrialisation are linked with increased rates of violence among youth, and in South Africa, inequality is an important predictor of violence in communities</w:t>
      </w:r>
      <w:r w:rsidR="00AF1CEC" w:rsidRPr="008B4D4B">
        <w:rPr>
          <w:rFonts w:ascii="Didot" w:hAnsi="Didot" w:cs="Didot"/>
          <w:sz w:val="22"/>
          <w:szCs w:val="22"/>
        </w:rPr>
        <w:fldChar w:fldCharType="begin" w:fldLock="1"/>
      </w:r>
      <w:r w:rsidRPr="008B4D4B">
        <w:rPr>
          <w:rFonts w:ascii="Didot" w:hAnsi="Didot" w:cs="Didot"/>
          <w:sz w:val="22"/>
          <w:szCs w:val="22"/>
        </w:rPr>
        <w:instrText>ADDIN CSL_CITATION { "citationItems" : [ { "id" : "ITEM-1", "itemData" : { "author" : [ { "dropping-particle" : "", "family" : "Altbeker", "given" : "A", "non-dropping-particle" : "", "parse-names" : false, "suffix" : "" } ], "id" : "ITEM-1", "issued" : { "date-parts" : [ [ "2008" ] ] }, "publisher-place" : "Johannesburg", "title" : "Adding Insult to Injury: How Exclusion and Inequality Drive South Africa\u2019s Problem of Violence. Report #4 of CSVR Study of Violent Crime.", "type" : "report" }, "uris" : [ "http://www.mendeley.com/documents/?uuid=fea4b11f-4ea5-4726-b780-16007d737949", "http://www.mendeley.com/documents/?uuid=81e2081c-d4d4-4a92-b87b-2fb64b110aff" ] } ], "mendeley" : { "previouslyFormattedCitation" : "&lt;sup&gt;14&lt;/sup&gt;" }, "properties" : { "noteIndex" : 0 }, "schema" : "https://github.com/citation-style-language/schema/raw/master/csl-citation.json" }</w:instrText>
      </w:r>
      <w:r w:rsidR="00AF1CEC" w:rsidRPr="008B4D4B">
        <w:rPr>
          <w:rFonts w:ascii="Didot" w:hAnsi="Didot" w:cs="Didot"/>
          <w:sz w:val="22"/>
          <w:szCs w:val="22"/>
        </w:rPr>
        <w:fldChar w:fldCharType="separate"/>
      </w:r>
      <w:r w:rsidRPr="008B4D4B">
        <w:rPr>
          <w:rFonts w:ascii="Didot" w:hAnsi="Didot" w:cs="Didot"/>
          <w:sz w:val="22"/>
          <w:szCs w:val="22"/>
        </w:rPr>
        <w:t>14</w:t>
      </w:r>
      <w:r w:rsidR="00AF1CEC" w:rsidRPr="008B4D4B">
        <w:rPr>
          <w:rFonts w:ascii="Didot" w:hAnsi="Didot" w:cs="Didot"/>
          <w:sz w:val="22"/>
          <w:szCs w:val="22"/>
        </w:rPr>
        <w:fldChar w:fldCharType="end"/>
      </w:r>
      <w:r w:rsidRPr="008B4D4B">
        <w:rPr>
          <w:rFonts w:ascii="Didot" w:hAnsi="Didot" w:cs="Didot"/>
          <w:sz w:val="22"/>
          <w:szCs w:val="22"/>
        </w:rPr>
        <w:t xml:space="preserve">. There are marked differences between Cape Town’s health sub-districts in aggregate education level, the percentage of informal dwellings and access to public infrastructure such as piped water and electricity. Internal and cross-border migration have been catalysts for rapid urbanisation and dramatic expansion in the size of sub-economic and informal housing settlements on the urban periphery, areas with the highest rates of violence. Between 2001 and 2006 the Western Cape experienced </w:t>
      </w:r>
      <w:proofErr w:type="gramStart"/>
      <w:r w:rsidRPr="008B4D4B">
        <w:rPr>
          <w:rFonts w:ascii="Didot" w:hAnsi="Didot" w:cs="Didot"/>
          <w:sz w:val="22"/>
          <w:szCs w:val="22"/>
        </w:rPr>
        <w:t>100%</w:t>
      </w:r>
      <w:proofErr w:type="gramEnd"/>
      <w:r w:rsidRPr="008B4D4B">
        <w:rPr>
          <w:rFonts w:ascii="Didot" w:hAnsi="Didot" w:cs="Didot"/>
          <w:sz w:val="22"/>
          <w:szCs w:val="22"/>
        </w:rPr>
        <w:t xml:space="preserve"> net migration, the highest of South Africa’s nine provinces. </w:t>
      </w:r>
    </w:p>
    <w:p w14:paraId="6D9FF87C" w14:textId="77777777" w:rsidR="00540C57" w:rsidRPr="008B4D4B" w:rsidRDefault="00540C57" w:rsidP="008A7E29">
      <w:pPr>
        <w:jc w:val="both"/>
        <w:rPr>
          <w:rFonts w:ascii="Didot" w:hAnsi="Didot" w:cs="Didot"/>
          <w:sz w:val="22"/>
          <w:szCs w:val="22"/>
          <w:lang w:val="en-US"/>
        </w:rPr>
      </w:pPr>
    </w:p>
    <w:p w14:paraId="2D0CB1BF"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The Policy Framework encourages investment in those programmes most likely to affect a fundamental and lasting change over the long-term</w:t>
      </w:r>
      <w:proofErr w:type="gramStart"/>
      <w:r w:rsidRPr="008B4D4B">
        <w:rPr>
          <w:rFonts w:ascii="Didot" w:hAnsi="Didot" w:cs="Didot"/>
          <w:sz w:val="22"/>
          <w:szCs w:val="22"/>
          <w:lang w:val="en-US"/>
        </w:rPr>
        <w:t>,  alongside</w:t>
      </w:r>
      <w:proofErr w:type="gramEnd"/>
      <w:r w:rsidRPr="008B4D4B">
        <w:rPr>
          <w:rFonts w:ascii="Didot" w:hAnsi="Didot" w:cs="Didot"/>
          <w:sz w:val="22"/>
          <w:szCs w:val="22"/>
          <w:lang w:val="en-US"/>
        </w:rPr>
        <w:t xml:space="preserve"> the implementation of a limited number of “quick-fix” solutions likely to reduce violence in the short-term. Investment in programme documentation and evaluation that measures behaviour change or actual changes in injury rates were identified as important factors to drive long-term investment, ensure effectiveness and enable replication of successful programmes</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"ISBN" : "1872-6054", "abstract" : "In South Africa's Western Cape province, interpersonal violence was identified among the key prevention priorities in the provincial government's Burden of Disease (BoD) Reduction project. To date, there are no adequate systematic reviews of the full range of potential intervention strategies. In response, available data and the literature on risk factors and prevention strategies for interpersonal violence were reviewed with a view to providing policy makers with an inventory of interventions for application. Given the predominance of upstream factors in driving the province's rates of interpersonal violence, efforts to address its burden require an intersectoral approach. Achievable short-term targets are also required to offset the long-term nature of the strategies most likely to affect fundamental shifts. Documentation and evaluation will be important to drive long-term investment, ensure effectiveness and enable replication of successful programmes and should be considered imperative by interpersonal violence prevention policymakers in other low- to middle-income contexts.", "author" : [ { "dropping-particle" : "", "family" : "Matzopoulos", "given" : "Richard", "non-dropping-particle" : "", "parse-names" : false, "suffix" : "" }, { "dropping-particle" : "", "family" : "Bowman", "given" : "Brett", "non-dropping-particle" : "", "parse-names" : false, "suffix" : "" }, { "dropping-particle" : "", "family" : "Mathews", "given" : "Shanaaz", "non-dropping-particle" : "", "parse-names" : false, "suffix" : "" }, { "dropping-particle" : "", "family" : "Myers", "given" : "Jonny", "non-dropping-particle" : "", "parse-names" : false, "suffix" : "" } ], "container-title" : "Health policy (Amsterdam, Netherlands)", "id" : "ITEM-1", "issue" : "1", "issued" : { "date-parts" : [ [ "2010" ] ] }, "note" : "Accession Number: 20381189. Language Code: eng. Date Created: 20100727. Date Completed: 20101109. Update Code: 20111122. Publication Type: Journal Article; Research Support, Non-U.S. Gov't. Journal ID: 8409431. Publication Model: Print-Electronic. Cited Medium: Internet. NLM ISO Abbr: Health Policy Linking ISSN: 01688510. Subset: H. Date of Electronic Publication: 2010 Apr 08; ID: 20381189", "page" : "62-70", "title" : "Applying upstream interventions for interpersonal violence prevention: an uphill struggle in low- to middle-income contexts", "type" : "article-journal", "volume" : "97" }, "uris" : [ "http://www.mendeley.com/documents/?uuid=d4368d53-d29d-4630-abcd-440172563ffe" ] } ], "mendeley" : { "previouslyFormattedCitation" : "&lt;sup&gt;15&lt;/sup&gt;"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15</w:t>
      </w:r>
      <w:r w:rsidR="00AF1CEC" w:rsidRPr="008B4D4B">
        <w:rPr>
          <w:rFonts w:ascii="Didot" w:hAnsi="Didot" w:cs="Didot"/>
          <w:sz w:val="22"/>
          <w:szCs w:val="22"/>
          <w:lang w:val="en-US"/>
        </w:rPr>
        <w:fldChar w:fldCharType="end"/>
      </w:r>
      <w:r w:rsidRPr="008B4D4B">
        <w:rPr>
          <w:rFonts w:ascii="Didot" w:hAnsi="Didot" w:cs="Didot"/>
          <w:sz w:val="22"/>
          <w:szCs w:val="22"/>
          <w:lang w:val="en-US"/>
        </w:rPr>
        <w:t>. Specific evidence-based interventions that are highlighted in the Policy Framework include:</w:t>
      </w:r>
    </w:p>
    <w:p w14:paraId="5B0BC5C6"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 xml:space="preserve">Developing safe, stable and nurturing relationships between children and their parents and caregivers; </w:t>
      </w:r>
    </w:p>
    <w:p w14:paraId="6DAF3184"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 xml:space="preserve">Developing life skills in children and adolescents; </w:t>
      </w:r>
    </w:p>
    <w:p w14:paraId="750B8711"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lastRenderedPageBreak/>
        <w:t xml:space="preserve">Promoting gender equality to prevent violence against women and changing cultural and social norms that support violence; and </w:t>
      </w:r>
    </w:p>
    <w:p w14:paraId="56498997"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Reducing the availability and harmful use of alcohol.</w:t>
      </w:r>
    </w:p>
    <w:p w14:paraId="5E304DC8" w14:textId="77777777" w:rsidR="00160E26" w:rsidRPr="008B4D4B" w:rsidRDefault="00160E26" w:rsidP="008A7E29">
      <w:pPr>
        <w:jc w:val="both"/>
        <w:rPr>
          <w:rFonts w:ascii="Didot" w:hAnsi="Didot" w:cs="Didot"/>
          <w:sz w:val="22"/>
          <w:szCs w:val="22"/>
        </w:rPr>
        <w:sectPr w:rsidR="00160E26" w:rsidRPr="008B4D4B" w:rsidSect="00160E26">
          <w:type w:val="continuous"/>
          <w:pgSz w:w="12240" w:h="15840" w:code="1"/>
          <w:pgMar w:top="1380" w:right="1680" w:bottom="280" w:left="1520" w:header="720" w:footer="720" w:gutter="0"/>
          <w:cols w:space="720"/>
          <w:docGrid w:linePitch="299"/>
        </w:sectPr>
      </w:pPr>
    </w:p>
    <w:p w14:paraId="06215854" w14:textId="484631BB" w:rsidR="003D6AB9" w:rsidRPr="008B4D4B" w:rsidRDefault="00540C57" w:rsidP="008A7E29">
      <w:pPr>
        <w:jc w:val="both"/>
        <w:rPr>
          <w:rFonts w:ascii="Didot" w:hAnsi="Didot" w:cs="Didot"/>
          <w:sz w:val="22"/>
          <w:szCs w:val="22"/>
        </w:rPr>
      </w:pPr>
      <w:bookmarkStart w:id="10" w:name="_Toc272639884"/>
      <w:r w:rsidRPr="008B4D4B">
        <w:rPr>
          <w:rFonts w:ascii="Didot" w:hAnsi="Didot" w:cs="Didot"/>
          <w:sz w:val="22"/>
          <w:szCs w:val="22"/>
        </w:rPr>
        <w:lastRenderedPageBreak/>
        <w:t>Current implementation status- immediate successes and implementation challenges</w:t>
      </w:r>
      <w:bookmarkEnd w:id="10"/>
    </w:p>
    <w:p w14:paraId="2CA6BD5F" w14:textId="77777777" w:rsidR="003D6AB9" w:rsidRPr="008B4D4B" w:rsidRDefault="003D6AB9" w:rsidP="008A7E29">
      <w:pPr>
        <w:jc w:val="both"/>
        <w:rPr>
          <w:rFonts w:ascii="Didot" w:hAnsi="Didot" w:cs="Didot"/>
          <w:sz w:val="22"/>
          <w:szCs w:val="22"/>
          <w:lang w:val="en-US"/>
        </w:rPr>
      </w:pPr>
    </w:p>
    <w:p w14:paraId="6440BD13"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We reviewed the uptake of the Policy Framework against its key goals (engaging the whole of society, prioritising long and short-term evidence based interventions, focusing on high risk areas and consolidating monitoring and evaluation) one year after its adoption.</w:t>
      </w:r>
    </w:p>
    <w:p w14:paraId="22A27046" w14:textId="77777777" w:rsidR="00160E26" w:rsidRPr="008B4D4B" w:rsidRDefault="00160E26" w:rsidP="008A7E29">
      <w:pPr>
        <w:jc w:val="both"/>
        <w:rPr>
          <w:rFonts w:ascii="Didot" w:hAnsi="Didot" w:cs="Didot"/>
          <w:sz w:val="22"/>
          <w:szCs w:val="22"/>
        </w:rPr>
        <w:sectPr w:rsidR="00160E26" w:rsidRPr="008B4D4B" w:rsidSect="00160E26">
          <w:type w:val="continuous"/>
          <w:pgSz w:w="12240" w:h="15840" w:code="1"/>
          <w:pgMar w:top="1380" w:right="1680" w:bottom="280" w:left="1520" w:header="720" w:footer="720" w:gutter="0"/>
          <w:cols w:space="720"/>
          <w:docGrid w:linePitch="299"/>
        </w:sectPr>
      </w:pPr>
    </w:p>
    <w:p w14:paraId="4CB9F642" w14:textId="77777777" w:rsidR="00540C57" w:rsidRPr="008B4D4B" w:rsidRDefault="00540C57" w:rsidP="008A7E29">
      <w:pPr>
        <w:jc w:val="both"/>
        <w:rPr>
          <w:rFonts w:ascii="Didot" w:hAnsi="Didot" w:cs="Didot"/>
          <w:sz w:val="22"/>
          <w:szCs w:val="22"/>
        </w:rPr>
      </w:pPr>
      <w:bookmarkStart w:id="11" w:name="_Toc272639885"/>
      <w:r w:rsidRPr="008B4D4B">
        <w:rPr>
          <w:rFonts w:ascii="Didot" w:hAnsi="Didot" w:cs="Didot"/>
          <w:sz w:val="22"/>
          <w:szCs w:val="22"/>
        </w:rPr>
        <w:lastRenderedPageBreak/>
        <w:t>Engaging the whole of society</w:t>
      </w:r>
      <w:bookmarkEnd w:id="11"/>
    </w:p>
    <w:p w14:paraId="15293119" w14:textId="77777777" w:rsidR="001A057F" w:rsidRPr="008B4D4B" w:rsidRDefault="001A057F" w:rsidP="008A7E29">
      <w:pPr>
        <w:jc w:val="both"/>
        <w:rPr>
          <w:rFonts w:ascii="Didot" w:hAnsi="Didot" w:cs="Didot"/>
          <w:sz w:val="22"/>
          <w:szCs w:val="22"/>
          <w:lang w:val="en-US"/>
        </w:rPr>
      </w:pPr>
    </w:p>
    <w:p w14:paraId="684D4DDE"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The provincial government has attempted to reconceptualise the way in which safety is perceived and managed by applying a whole-of-society approach under its Provincial Strategic Objectives and it is currently developing a provincial Crime Prevention Strategy to co-ordinate crime prevention across all three spheres of government: national, regional and local. </w:t>
      </w:r>
    </w:p>
    <w:p w14:paraId="78B129EB" w14:textId="77777777" w:rsidR="00540C57" w:rsidRPr="008B4D4B" w:rsidRDefault="00540C57" w:rsidP="008A7E29">
      <w:pPr>
        <w:jc w:val="both"/>
        <w:rPr>
          <w:rFonts w:ascii="Didot" w:hAnsi="Didot" w:cs="Didot"/>
          <w:sz w:val="22"/>
          <w:szCs w:val="22"/>
          <w:lang w:val="en-US"/>
        </w:rPr>
      </w:pPr>
    </w:p>
    <w:p w14:paraId="3FA20845"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This strategy highlights the broad endorsement of the whole-of-society approach, but while this is an engaging theory for violence prevention, the practicalities of implementation are complex. There is a tendency to prioritise and provide service according to department silos or spheres of influence. Uptake by the police (mandated by national government) has been slow and stalled the Crime Prevention Strategy’s inception and may reflect hostility between national and provincial competencies of state silos.  The relationship between the private sector security services and the public sector police is also problematic with the public sector shedding responsibility to the private sector. This leads to security inequity with poor security services accorded to those who cannot pay.</w:t>
      </w:r>
    </w:p>
    <w:p w14:paraId="4624081F" w14:textId="77777777" w:rsidR="00540C57" w:rsidRPr="008B4D4B" w:rsidRDefault="00540C57" w:rsidP="008A7E29">
      <w:pPr>
        <w:jc w:val="both"/>
        <w:rPr>
          <w:rFonts w:ascii="Didot" w:hAnsi="Didot" w:cs="Didot"/>
          <w:sz w:val="22"/>
          <w:szCs w:val="22"/>
          <w:lang w:val="en-US"/>
        </w:rPr>
      </w:pPr>
    </w:p>
    <w:p w14:paraId="6F586AEB" w14:textId="77777777" w:rsidR="00160E26" w:rsidRPr="008B4D4B" w:rsidRDefault="00540C57" w:rsidP="008A7E29">
      <w:pPr>
        <w:jc w:val="both"/>
        <w:rPr>
          <w:rFonts w:ascii="Didot" w:hAnsi="Didot" w:cs="Didot"/>
          <w:sz w:val="22"/>
          <w:szCs w:val="22"/>
          <w:lang w:val="en-US"/>
        </w:rPr>
        <w:sectPr w:rsidR="00160E26" w:rsidRPr="008B4D4B" w:rsidSect="00160E26">
          <w:type w:val="continuous"/>
          <w:pgSz w:w="12240" w:h="15840" w:code="1"/>
          <w:pgMar w:top="1380" w:right="1680" w:bottom="280" w:left="1520" w:header="720" w:footer="720" w:gutter="0"/>
          <w:cols w:space="720"/>
          <w:docGrid w:linePitch="299"/>
        </w:sectPr>
      </w:pPr>
      <w:r w:rsidRPr="008B4D4B">
        <w:rPr>
          <w:rFonts w:ascii="Didot" w:hAnsi="Didot" w:cs="Didot"/>
          <w:sz w:val="22"/>
          <w:szCs w:val="22"/>
          <w:lang w:val="en-US"/>
        </w:rPr>
        <w:t xml:space="preserve">The primacy of crime as the social ill to be addressed in the provincial, rather than violence, immediately entrenches a focus on criminal justice responses, which echoes the national precedent. The National Development Plan’s chapter on Building Safer Communities describes </w:t>
      </w:r>
      <w:proofErr w:type="gramStart"/>
      <w:r w:rsidRPr="008B4D4B">
        <w:rPr>
          <w:rFonts w:ascii="Didot" w:hAnsi="Didot" w:cs="Didot"/>
          <w:sz w:val="22"/>
          <w:szCs w:val="22"/>
          <w:lang w:val="en-US"/>
        </w:rPr>
        <w:t>an</w:t>
      </w:r>
      <w:proofErr w:type="gramEnd"/>
      <w:r w:rsidRPr="008B4D4B">
        <w:rPr>
          <w:rFonts w:ascii="Didot" w:hAnsi="Didot" w:cs="Didot"/>
          <w:sz w:val="22"/>
          <w:szCs w:val="22"/>
          <w:lang w:val="en-US"/>
        </w:rPr>
        <w:t xml:space="preserve"> “holistic view of safety and security” but the implementation focus is directed almost exclusively on improving the criminal justice system </w:t>
      </w:r>
    </w:p>
    <w:p w14:paraId="2E0ABB86" w14:textId="77777777" w:rsidR="00540C57" w:rsidRPr="008B4D4B" w:rsidRDefault="00540C57" w:rsidP="008A7E29">
      <w:pPr>
        <w:jc w:val="both"/>
        <w:rPr>
          <w:rFonts w:ascii="Didot" w:hAnsi="Didot" w:cs="Didot"/>
          <w:sz w:val="22"/>
          <w:szCs w:val="22"/>
          <w:lang w:val="en-US"/>
        </w:rPr>
      </w:pPr>
      <w:proofErr w:type="gramStart"/>
      <w:r w:rsidRPr="008B4D4B">
        <w:rPr>
          <w:rFonts w:ascii="Didot" w:hAnsi="Didot" w:cs="Didot"/>
          <w:sz w:val="22"/>
          <w:szCs w:val="22"/>
          <w:lang w:val="en-US"/>
        </w:rPr>
        <w:lastRenderedPageBreak/>
        <w:t>and</w:t>
      </w:r>
      <w:proofErr w:type="gramEnd"/>
      <w:r w:rsidRPr="008B4D4B">
        <w:rPr>
          <w:rFonts w:ascii="Didot" w:hAnsi="Didot" w:cs="Didot"/>
          <w:sz w:val="22"/>
          <w:szCs w:val="22"/>
          <w:lang w:val="en-US"/>
        </w:rPr>
        <w:t xml:space="preserve"> most particularly, policing.</w:t>
      </w:r>
    </w:p>
    <w:p w14:paraId="6CC8CAC9" w14:textId="77777777" w:rsidR="00160E26" w:rsidRPr="008B4D4B" w:rsidRDefault="00160E26" w:rsidP="008A7E29">
      <w:pPr>
        <w:jc w:val="both"/>
        <w:rPr>
          <w:rFonts w:ascii="Didot" w:hAnsi="Didot" w:cs="Didot"/>
          <w:sz w:val="22"/>
          <w:szCs w:val="22"/>
          <w:lang w:val="en-US"/>
        </w:rPr>
        <w:sectPr w:rsidR="00160E26" w:rsidRPr="008B4D4B" w:rsidSect="00160E26">
          <w:type w:val="continuous"/>
          <w:pgSz w:w="12240" w:h="15840" w:code="1"/>
          <w:pgMar w:top="1380" w:right="1680" w:bottom="280" w:left="1520" w:header="720" w:footer="720" w:gutter="0"/>
          <w:cols w:space="720"/>
          <w:docGrid w:linePitch="299"/>
        </w:sectPr>
      </w:pPr>
    </w:p>
    <w:p w14:paraId="6E186951" w14:textId="77777777" w:rsidR="00540C57" w:rsidRPr="008B4D4B" w:rsidRDefault="00540C57" w:rsidP="008A7E29">
      <w:pPr>
        <w:jc w:val="both"/>
        <w:rPr>
          <w:rFonts w:ascii="Didot" w:hAnsi="Didot" w:cs="Didot"/>
          <w:sz w:val="22"/>
          <w:szCs w:val="22"/>
          <w:lang w:val="en-US"/>
        </w:rPr>
      </w:pPr>
    </w:p>
    <w:p w14:paraId="398D42A2" w14:textId="77777777" w:rsidR="00160E26" w:rsidRPr="008B4D4B" w:rsidRDefault="00160E26" w:rsidP="008A7E29">
      <w:pPr>
        <w:jc w:val="both"/>
        <w:rPr>
          <w:rFonts w:ascii="Didot" w:hAnsi="Didot" w:cs="Didot"/>
          <w:sz w:val="22"/>
          <w:szCs w:val="22"/>
        </w:rPr>
        <w:sectPr w:rsidR="00160E26" w:rsidRPr="008B4D4B" w:rsidSect="003D6AB9">
          <w:type w:val="continuous"/>
          <w:pgSz w:w="12240" w:h="15840" w:code="1"/>
          <w:pgMar w:top="1380" w:right="1680" w:bottom="280" w:left="1520" w:header="720" w:footer="720" w:gutter="0"/>
          <w:cols w:space="720"/>
          <w:docGrid w:linePitch="299"/>
        </w:sectPr>
      </w:pPr>
    </w:p>
    <w:p w14:paraId="7B422494" w14:textId="77777777" w:rsidR="00540C57" w:rsidRPr="008B4D4B" w:rsidRDefault="00540C57" w:rsidP="008A7E29">
      <w:pPr>
        <w:jc w:val="both"/>
        <w:rPr>
          <w:rFonts w:ascii="Didot" w:hAnsi="Didot" w:cs="Didot"/>
          <w:sz w:val="22"/>
          <w:szCs w:val="22"/>
        </w:rPr>
      </w:pPr>
      <w:bookmarkStart w:id="12" w:name="_Toc272639886"/>
      <w:r w:rsidRPr="008B4D4B">
        <w:rPr>
          <w:rFonts w:ascii="Didot" w:hAnsi="Didot" w:cs="Didot"/>
          <w:sz w:val="22"/>
          <w:szCs w:val="22"/>
        </w:rPr>
        <w:lastRenderedPageBreak/>
        <w:t>Prioritising evidence-based interventions</w:t>
      </w:r>
      <w:bookmarkEnd w:id="12"/>
    </w:p>
    <w:p w14:paraId="338238E7" w14:textId="77777777" w:rsidR="001A057F" w:rsidRPr="008B4D4B" w:rsidRDefault="001A057F" w:rsidP="008A7E29">
      <w:pPr>
        <w:jc w:val="both"/>
        <w:rPr>
          <w:rFonts w:ascii="Didot" w:hAnsi="Didot" w:cs="Didot"/>
          <w:sz w:val="22"/>
          <w:szCs w:val="22"/>
          <w:lang w:val="en-US"/>
        </w:rPr>
      </w:pPr>
    </w:p>
    <w:p w14:paraId="25CDC891"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Provincially, nationally and globally the Policy Framework competes with other strategies, none of which apply a consistent interpretation of the evidence-base for violence prevention. Even the 67th World Health Assembly’s Resolution on Violence Prevention, which follows a public-health approach consistent with the Policy </w:t>
      </w:r>
      <w:proofErr w:type="gramStart"/>
      <w:r w:rsidRPr="008B4D4B">
        <w:rPr>
          <w:rFonts w:ascii="Didot" w:hAnsi="Didot" w:cs="Didot"/>
          <w:sz w:val="22"/>
          <w:szCs w:val="22"/>
          <w:lang w:val="en-US"/>
        </w:rPr>
        <w:t>Framework</w:t>
      </w:r>
      <w:proofErr w:type="gramEnd"/>
      <w:r w:rsidRPr="008B4D4B">
        <w:rPr>
          <w:rFonts w:ascii="Didot" w:hAnsi="Didot" w:cs="Didot"/>
          <w:sz w:val="22"/>
          <w:szCs w:val="22"/>
          <w:lang w:val="en-US"/>
        </w:rPr>
        <w:t xml:space="preserve"> has a disproportionate focus on the plight of women, children and girls (Ref Matzopoulos, Cornell, Myers, Bowman in press). The National Development Plan similarly ignores young men as a vulnerable group, and in describing the implementation of “strategies known to work” pays scant attention to the evidence base for interventions. The provincial Crime Prevention Strategy</w:t>
      </w:r>
      <w:r w:rsidRPr="008B4D4B" w:rsidDel="00840328">
        <w:rPr>
          <w:rFonts w:ascii="Didot" w:hAnsi="Didot" w:cs="Didot"/>
          <w:sz w:val="22"/>
          <w:szCs w:val="22"/>
          <w:lang w:val="en-US"/>
        </w:rPr>
        <w:t xml:space="preserve"> </w:t>
      </w:r>
      <w:r w:rsidRPr="008B4D4B">
        <w:rPr>
          <w:rFonts w:ascii="Didot" w:hAnsi="Didot" w:cs="Didot"/>
          <w:sz w:val="22"/>
          <w:szCs w:val="22"/>
          <w:lang w:val="en-US"/>
        </w:rPr>
        <w:t>makes no mention of a public health or evidence-based approach to violence prevention.</w:t>
      </w:r>
    </w:p>
    <w:p w14:paraId="62942390" w14:textId="77777777" w:rsidR="00540C57" w:rsidRPr="008B4D4B" w:rsidRDefault="00540C57" w:rsidP="008A7E29">
      <w:pPr>
        <w:jc w:val="both"/>
        <w:rPr>
          <w:rFonts w:ascii="Didot" w:hAnsi="Didot" w:cs="Didot"/>
          <w:sz w:val="22"/>
          <w:szCs w:val="22"/>
          <w:lang w:val="en-US"/>
        </w:rPr>
      </w:pPr>
    </w:p>
    <w:p w14:paraId="682530B0"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lastRenderedPageBreak/>
        <w:t xml:space="preserve">Amendments to provincial alcohol regulation pose a direct challenge to the intervention strategy proposed in the Policy Framework. The Western Cape Liquor Act, which aimed to regulate sales and limit alcohol harms encountered strong resistance from the alcohol industry, which slowed its drafting and the implementation of its regulations. In February 2014 the City of Cape Town adopted a by-law to extend trading times beyond the limits that preceded the Act.  Another example is the inclusion of boxing as one of the key diversion strategies for youths in high-risk communities despite no evidence as to its effectiveness for youth violence prevention, and Health Department concerns that boxing could increase traumatic brain injuries, which are associated with subsequent violent behaviour, and could increase participants’ long-term risk. </w:t>
      </w:r>
    </w:p>
    <w:p w14:paraId="75C9C6EC" w14:textId="77777777" w:rsidR="00540C57" w:rsidRPr="008B4D4B" w:rsidRDefault="00540C57" w:rsidP="008A7E29">
      <w:pPr>
        <w:jc w:val="both"/>
        <w:rPr>
          <w:rFonts w:ascii="Didot" w:hAnsi="Didot" w:cs="Didot"/>
          <w:sz w:val="22"/>
          <w:szCs w:val="22"/>
        </w:rPr>
      </w:pPr>
      <w:bookmarkStart w:id="13" w:name="_Toc272639887"/>
      <w:r w:rsidRPr="008B4D4B">
        <w:rPr>
          <w:rFonts w:ascii="Didot" w:hAnsi="Didot" w:cs="Didot"/>
          <w:sz w:val="22"/>
          <w:szCs w:val="22"/>
        </w:rPr>
        <w:t>A focus on high-risk areas</w:t>
      </w:r>
      <w:bookmarkEnd w:id="13"/>
      <w:r w:rsidRPr="008B4D4B">
        <w:rPr>
          <w:rFonts w:ascii="Didot" w:hAnsi="Didot" w:cs="Didot"/>
          <w:sz w:val="22"/>
          <w:szCs w:val="22"/>
        </w:rPr>
        <w:t xml:space="preserve"> </w:t>
      </w:r>
    </w:p>
    <w:p w14:paraId="58E136A8" w14:textId="77777777" w:rsidR="001A057F" w:rsidRPr="008B4D4B" w:rsidRDefault="001A057F" w:rsidP="008A7E29">
      <w:pPr>
        <w:jc w:val="both"/>
        <w:rPr>
          <w:rFonts w:ascii="Didot" w:hAnsi="Didot" w:cs="Didot"/>
          <w:sz w:val="22"/>
          <w:szCs w:val="22"/>
          <w:lang w:val="en-US"/>
        </w:rPr>
      </w:pPr>
    </w:p>
    <w:p w14:paraId="52FAACA9"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 xml:space="preserve">The focus on high-risk areas has been bolstered by the expansion of the Violence Prevention through Urban Upgrading interventions, which were first piloted in Cape Town to five other Western Cape municipalities. The interventions are jointly funded by the German Development Bank (KfW) and the Provincial Government’s Regional Socioeconomic Programme. </w:t>
      </w:r>
    </w:p>
    <w:p w14:paraId="75BEC33B" w14:textId="77777777" w:rsidR="00160E26" w:rsidRPr="008B4D4B" w:rsidRDefault="00160E26" w:rsidP="008A7E29">
      <w:pPr>
        <w:jc w:val="both"/>
        <w:rPr>
          <w:rFonts w:ascii="Didot" w:hAnsi="Didot" w:cs="Didot"/>
          <w:sz w:val="22"/>
          <w:szCs w:val="22"/>
        </w:rPr>
        <w:sectPr w:rsidR="00160E26" w:rsidRPr="008B4D4B" w:rsidSect="00160E26">
          <w:type w:val="continuous"/>
          <w:pgSz w:w="12240" w:h="15840" w:code="1"/>
          <w:pgMar w:top="1380" w:right="1680" w:bottom="280" w:left="1520" w:header="720" w:footer="720" w:gutter="0"/>
          <w:cols w:space="720"/>
          <w:docGrid w:linePitch="299"/>
        </w:sectPr>
      </w:pPr>
    </w:p>
    <w:p w14:paraId="3254A798" w14:textId="77777777" w:rsidR="00540C57" w:rsidRPr="008B4D4B" w:rsidRDefault="00540C57" w:rsidP="008A7E29">
      <w:pPr>
        <w:jc w:val="both"/>
        <w:rPr>
          <w:rFonts w:ascii="Didot" w:hAnsi="Didot" w:cs="Didot"/>
          <w:sz w:val="22"/>
          <w:szCs w:val="22"/>
        </w:rPr>
      </w:pPr>
    </w:p>
    <w:p w14:paraId="74AE411E" w14:textId="77777777" w:rsidR="00160E26" w:rsidRPr="008B4D4B" w:rsidRDefault="00160E26" w:rsidP="008A7E29">
      <w:pPr>
        <w:jc w:val="both"/>
        <w:rPr>
          <w:rFonts w:ascii="Didot" w:hAnsi="Didot" w:cs="Didot"/>
          <w:sz w:val="22"/>
          <w:szCs w:val="22"/>
        </w:rPr>
        <w:sectPr w:rsidR="00160E26" w:rsidRPr="008B4D4B" w:rsidSect="003D6AB9">
          <w:type w:val="continuous"/>
          <w:pgSz w:w="12240" w:h="15840" w:code="1"/>
          <w:pgMar w:top="1380" w:right="1680" w:bottom="280" w:left="1520" w:header="720" w:footer="720" w:gutter="0"/>
          <w:cols w:space="720"/>
          <w:docGrid w:linePitch="299"/>
        </w:sectPr>
      </w:pPr>
    </w:p>
    <w:p w14:paraId="5C050000" w14:textId="77777777" w:rsidR="00540C57" w:rsidRPr="008B4D4B" w:rsidRDefault="00540C57" w:rsidP="008A7E29">
      <w:pPr>
        <w:jc w:val="both"/>
        <w:rPr>
          <w:rFonts w:ascii="Didot" w:hAnsi="Didot" w:cs="Didot"/>
          <w:sz w:val="22"/>
          <w:szCs w:val="22"/>
        </w:rPr>
      </w:pPr>
      <w:bookmarkStart w:id="14" w:name="_Toc272639888"/>
      <w:r w:rsidRPr="008B4D4B">
        <w:rPr>
          <w:rFonts w:ascii="Didot" w:hAnsi="Didot" w:cs="Didot"/>
          <w:sz w:val="22"/>
          <w:szCs w:val="22"/>
        </w:rPr>
        <w:lastRenderedPageBreak/>
        <w:t>Institutionalising monitoring and evaluation</w:t>
      </w:r>
      <w:bookmarkEnd w:id="14"/>
    </w:p>
    <w:p w14:paraId="46DDF39D" w14:textId="77777777" w:rsidR="001A057F" w:rsidRPr="008B4D4B" w:rsidRDefault="001A057F" w:rsidP="008A7E29">
      <w:pPr>
        <w:jc w:val="both"/>
        <w:rPr>
          <w:rFonts w:ascii="Didot" w:hAnsi="Didot" w:cs="Didot"/>
          <w:sz w:val="22"/>
          <w:szCs w:val="22"/>
          <w:lang w:val="en-US"/>
        </w:rPr>
      </w:pPr>
    </w:p>
    <w:p w14:paraId="4BD7B24A" w14:textId="77777777" w:rsidR="00540C57" w:rsidRPr="008B4D4B" w:rsidRDefault="00540C57" w:rsidP="008A7E29">
      <w:pPr>
        <w:jc w:val="both"/>
        <w:rPr>
          <w:rFonts w:ascii="Didot" w:hAnsi="Didot" w:cs="Didot"/>
          <w:sz w:val="22"/>
          <w:szCs w:val="22"/>
          <w:lang w:val="en-US"/>
        </w:rPr>
      </w:pPr>
      <w:proofErr w:type="gramStart"/>
      <w:r w:rsidRPr="008B4D4B">
        <w:rPr>
          <w:rFonts w:ascii="Didot" w:hAnsi="Didot" w:cs="Didot"/>
          <w:sz w:val="22"/>
          <w:szCs w:val="22"/>
          <w:lang w:val="en-US"/>
        </w:rPr>
        <w:t>Evaluation of the alcohol and urban upgrading interventions in two low-income communities, Khayelitsha and Nyanga, is being supported by research funding from the International Development Research Centre (Canada) and the Department for International Development (UK)</w:t>
      </w:r>
      <w:proofErr w:type="gramEnd"/>
      <w:r w:rsidRPr="008B4D4B">
        <w:rPr>
          <w:rFonts w:ascii="Didot" w:hAnsi="Didot" w:cs="Didot"/>
          <w:sz w:val="22"/>
          <w:szCs w:val="22"/>
          <w:lang w:val="en-US"/>
        </w:rPr>
        <w:t xml:space="preserve">. The research includes a process to develop indicators across five key domains that are considered to influence the incidence of violence at the community level: alcohol, infrastructure, safety and security, youth development, and socio-economic development.   Outcome data is complemented by the provincial Department of Health, which is piloting rapid cross-sectional studies of non-fatal injuries </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"ISSN" : "0256-9574", "abstract" : "Objective. We aimed to pilot a trauma surveillance tool for use in a primary healthcare emergency centre to provide a risk profile of injury patterns in Elsies River, Cape Town. Methods. Healthcare workers completed a one-page questionnaire capturing demographic and injury data from trauma patients presenting to the emergency unit of the Elsies River Community Health Centre over a period of 10 days. Results. Trauma cases comprised about one-fifth of the total headcount during the study period. Most injuries took place before midnight. Approximately 47% of the trauma patients were suspected of being under the influence of alcohol with 87% of these cases caused by interpersonal violence; 28% were males between the ages of 19 and 35 years old, suspected of being under the influence of alcohol and presenting with injuries due to violence. Conclusion. Injury surveillance at primary healthcare emergency centres provides an additional perspective on the injury burden compared with population-level mortality statistics, but the quality of data collection is limited by resource constraints. We recommend that the current trauma register be revised to separate trauma and medical headcounts and enable better resource planning at a facility and subdistrict level. Information gathered must be linked to health and safety interventions aimed at reducing the trauma burden within communities.", "author" : [ { "dropping-particle" : "", "family" : "Govender", "given" : "I", "non-dropping-particle" : "", "parse-names" : false, "suffix" : "" }, { "dropping-particle" : "", "family" : "Matzopoulos", "given" : "R", "non-dropping-particle" : "", "parse-names" : false, "suffix" : "" }, { "dropping-particle" : "", "family" : "Makanga", "given" : "P", "non-dropping-particle" : "", "parse-names" : false, "suffix" : "" }, { "dropping-particle" : "", "family" : "Corrigall", "given" : "J", "non-dropping-particle" : "", "parse-names" : false, "suffix" : "" } ], "container-title" : "South African Medical Journal = Suid-Afrikaanse Tydskrif Vir Geneeskunde", "id" : "ITEM-1", "issue" : "5", "issued" : { "date-parts" : [ [ "2012" ] ] }, "note" : "Accession Number: 22554338. Language: English. Language Code: eng. Date Created: 20120504. Update Code: 20120504. Publication Type: Journal Article. Journal ID: 0404520. Publication Model: Electronic. Cited Medium: Print. NLM ISO Abbr: S. Afr. Med. J. Linking ISSN: 02569574. Subset: In-Data-Review; IM. Date of Electronic Publication: 2012 Mar 21; ID: 22554338", "page" : "303-306", "publisher" : "South African Medical Association : Cape Town", "publisher-place" : "Provincial Government Western Cape and School of Public Health and Family Medicine, University of Cape Town. indira.govender@gmail.com.", "title" : "Piloting a trauma surveillance tool for primary healthcare emergency centres", "type" : "article-journal", "volume" : "102" }, "uris" : [ "http://www.mendeley.com/documents/?uuid=997d3915-b7be-416b-927c-80d238401c8e" ] } ], "mendeley" : { "previouslyFormattedCitation" : "&lt;sup&gt;16&lt;/sup&gt;"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16</w:t>
      </w:r>
      <w:r w:rsidR="00AF1CEC" w:rsidRPr="008B4D4B">
        <w:rPr>
          <w:rFonts w:ascii="Didot" w:hAnsi="Didot" w:cs="Didot"/>
          <w:sz w:val="22"/>
          <w:szCs w:val="22"/>
          <w:lang w:val="en-US"/>
        </w:rPr>
        <w:fldChar w:fldCharType="end"/>
      </w:r>
      <w:r w:rsidRPr="008B4D4B">
        <w:rPr>
          <w:rFonts w:ascii="Didot" w:hAnsi="Didot" w:cs="Didot"/>
          <w:sz w:val="22"/>
          <w:szCs w:val="22"/>
          <w:lang w:val="en-US"/>
        </w:rPr>
        <w:t xml:space="preserve"> presenting to health facilities in high-risk areas. The Provincial Injury Mortality Surveillance System provides full coverage of all injury deaths in the province</w:t>
      </w:r>
      <w:r w:rsidR="00AF1CEC" w:rsidRPr="008B4D4B">
        <w:rPr>
          <w:rFonts w:ascii="Didot" w:hAnsi="Didot" w:cs="Didot"/>
          <w:sz w:val="22"/>
          <w:szCs w:val="22"/>
          <w:lang w:val="en-US"/>
        </w:rPr>
        <w:fldChar w:fldCharType="begin" w:fldLock="1"/>
      </w:r>
      <w:r w:rsidRPr="008B4D4B">
        <w:rPr>
          <w:rFonts w:ascii="Didot" w:hAnsi="Didot" w:cs="Didot"/>
          <w:sz w:val="22"/>
          <w:szCs w:val="22"/>
          <w:lang w:val="en-US"/>
        </w:rPr>
        <w:instrText>ADDIN CSL_CITATION { "citationItems" : [ { "id" : "ITEM-1", "itemData" : { "DOI" : "10.1136/ip.2010.029215.172", "ISSN" : "1353-8047", "author" : [ { "dropping-particle" : "", "family" : "Matzopoulos", "given" : "R.", "non-dropping-particle" : "", "parse-names" : false, "suffix" : "" }, { "dropping-particle" : "", "family" : "Martin", "given" : "L. J.", "non-dropping-particle" : "", "parse-names" : false, "suffix" : "" }, { "dropping-particle" : "", "family" : "Wadee", "given" : "S.", "non-dropping-particle" : "", "parse-names" : false, "suffix" : "" }, { "dropping-particle" : "", "family" : "Thomson", "given" : "V.", "non-dropping-particle" : "", "parse-names" : false, "suffix" : "" }, { "dropping-particle" : "", "family" : "Prinsloo", "given" : "M.", "non-dropping-particle" : "", "parse-names" : false, "suffix" : "" }, { "dropping-particle" : "", "family" : "Bourne", "given" : "D.", "non-dropping-particle" : "", "parse-names" : false, "suffix" : "" }, { "dropping-particle" : "", "family" : "Groenewald", "given" : "P.", "non-dropping-particle" : "", "parse-names" : false, "suffix" : "" }, { "dropping-particle" : "", "family" : "Naledi", "given" : "N.", "non-dropping-particle" : "", "parse-names" : false, "suffix" : "" }, { "dropping-particle" : "", "family" : "Myers", "given" : "J.", "non-dropping-particle" : "", "parse-names" : false, "suffix" : "" } ], "container-title" : "Injury Prevention", "id" : "ITEM-1", "issue" : "Supplement 1", "issued" : { "date-parts" : [ [ "2010", "3", "1" ] ] }, "page" : "A47-A48", "title" : "The Provincial Injury Mortality Surveillance System (PIMSS): a surveillance tool for the Western Cape", "type" : "article-journal", "volume" : "16" }, "uris" : [ "http://www.mendeley.com/documents/?uuid=ec4390f5-a11d-4f1a-a438-c5f611414999" ] } ], "mendeley" : { "previouslyFormattedCitation" : "&lt;sup&gt;17&lt;/sup&gt;" }, "properties" : { "noteIndex" : 0 }, "schema" : "https://github.com/citation-style-language/schema/raw/master/csl-citation.json" }</w:instrText>
      </w:r>
      <w:r w:rsidR="00AF1CEC" w:rsidRPr="008B4D4B">
        <w:rPr>
          <w:rFonts w:ascii="Didot" w:hAnsi="Didot" w:cs="Didot"/>
          <w:sz w:val="22"/>
          <w:szCs w:val="22"/>
          <w:lang w:val="en-US"/>
        </w:rPr>
        <w:fldChar w:fldCharType="separate"/>
      </w:r>
      <w:r w:rsidRPr="008B4D4B">
        <w:rPr>
          <w:rFonts w:ascii="Didot" w:hAnsi="Didot" w:cs="Didot"/>
          <w:sz w:val="22"/>
          <w:szCs w:val="22"/>
          <w:lang w:val="en-US"/>
        </w:rPr>
        <w:t>17</w:t>
      </w:r>
      <w:r w:rsidR="00AF1CEC" w:rsidRPr="008B4D4B">
        <w:rPr>
          <w:rFonts w:ascii="Didot" w:hAnsi="Didot" w:cs="Didot"/>
          <w:sz w:val="22"/>
          <w:szCs w:val="22"/>
          <w:lang w:val="en-US"/>
        </w:rPr>
        <w:fldChar w:fldCharType="end"/>
      </w:r>
      <w:r w:rsidRPr="008B4D4B">
        <w:rPr>
          <w:rFonts w:ascii="Didot" w:hAnsi="Didot" w:cs="Didot"/>
          <w:sz w:val="22"/>
          <w:szCs w:val="22"/>
          <w:lang w:val="en-US"/>
        </w:rPr>
        <w:t xml:space="preserve">. </w:t>
      </w:r>
    </w:p>
    <w:p w14:paraId="2CDF9C12" w14:textId="77777777" w:rsidR="00160E26" w:rsidRPr="008B4D4B" w:rsidRDefault="00160E26" w:rsidP="008A7E29">
      <w:pPr>
        <w:jc w:val="both"/>
        <w:rPr>
          <w:rFonts w:ascii="Didot" w:hAnsi="Didot" w:cs="Didot"/>
          <w:sz w:val="22"/>
          <w:szCs w:val="22"/>
        </w:rPr>
        <w:sectPr w:rsidR="00160E26" w:rsidRPr="008B4D4B" w:rsidSect="00160E26">
          <w:type w:val="continuous"/>
          <w:pgSz w:w="12240" w:h="15840" w:code="1"/>
          <w:pgMar w:top="1380" w:right="1680" w:bottom="280" w:left="1520" w:header="720" w:footer="720" w:gutter="0"/>
          <w:cols w:space="720"/>
          <w:docGrid w:linePitch="299"/>
        </w:sectPr>
      </w:pPr>
    </w:p>
    <w:p w14:paraId="19733A8E" w14:textId="77777777" w:rsidR="00540C57" w:rsidRPr="008B4D4B" w:rsidRDefault="00540C57" w:rsidP="008A7E29">
      <w:pPr>
        <w:jc w:val="both"/>
        <w:rPr>
          <w:rFonts w:ascii="Didot" w:hAnsi="Didot" w:cs="Didot"/>
          <w:sz w:val="22"/>
          <w:szCs w:val="22"/>
        </w:rPr>
      </w:pPr>
      <w:bookmarkStart w:id="15" w:name="_Toc272639889"/>
      <w:r w:rsidRPr="008B4D4B">
        <w:rPr>
          <w:rFonts w:ascii="Didot" w:hAnsi="Didot" w:cs="Didot"/>
          <w:sz w:val="22"/>
          <w:szCs w:val="22"/>
        </w:rPr>
        <w:lastRenderedPageBreak/>
        <w:t>Conclusions and recomme</w:t>
      </w:r>
      <w:r w:rsidR="001A057F" w:rsidRPr="008B4D4B">
        <w:rPr>
          <w:rFonts w:ascii="Didot" w:hAnsi="Didot" w:cs="Didot"/>
          <w:sz w:val="22"/>
          <w:szCs w:val="22"/>
        </w:rPr>
        <w:t>ndations</w:t>
      </w:r>
      <w:bookmarkEnd w:id="15"/>
      <w:r w:rsidRPr="008B4D4B">
        <w:rPr>
          <w:rFonts w:ascii="Didot" w:hAnsi="Didot" w:cs="Didot"/>
          <w:sz w:val="22"/>
          <w:szCs w:val="22"/>
        </w:rPr>
        <w:t xml:space="preserve"> </w:t>
      </w:r>
    </w:p>
    <w:p w14:paraId="749A0F28" w14:textId="77777777" w:rsidR="001A057F" w:rsidRPr="008B4D4B" w:rsidRDefault="001A057F" w:rsidP="008A7E29">
      <w:pPr>
        <w:jc w:val="both"/>
        <w:rPr>
          <w:rFonts w:ascii="Didot" w:hAnsi="Didot" w:cs="Didot"/>
          <w:sz w:val="22"/>
          <w:szCs w:val="22"/>
          <w:lang w:val="en-US"/>
        </w:rPr>
      </w:pPr>
    </w:p>
    <w:p w14:paraId="55446CDD"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The strongest indication that the Policy Framework is influencing the violence prevention agenda in the province is the support for the broad intervention approach and evaluation research in selected high-risk communities. </w:t>
      </w:r>
    </w:p>
    <w:p w14:paraId="3D113386"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 xml:space="preserve">This should inform the development of a surveillance site/observatory to provide ongoing monitoring and new evidence as to which interventions work best in local conditions. </w:t>
      </w:r>
    </w:p>
    <w:p w14:paraId="57F28255" w14:textId="77777777" w:rsidR="00540C57" w:rsidRPr="008B4D4B" w:rsidRDefault="00540C57" w:rsidP="008A7E29">
      <w:pPr>
        <w:jc w:val="both"/>
        <w:rPr>
          <w:rFonts w:ascii="Didot" w:hAnsi="Didot" w:cs="Didot"/>
          <w:sz w:val="22"/>
          <w:szCs w:val="22"/>
          <w:lang w:val="en-US"/>
        </w:rPr>
      </w:pPr>
    </w:p>
    <w:p w14:paraId="0D7ECAE0" w14:textId="77777777" w:rsidR="00540C57" w:rsidRPr="008B4D4B" w:rsidRDefault="00540C57" w:rsidP="008A7E29">
      <w:pPr>
        <w:jc w:val="both"/>
        <w:rPr>
          <w:rFonts w:ascii="Didot" w:hAnsi="Didot" w:cs="Didot"/>
          <w:sz w:val="22"/>
          <w:szCs w:val="22"/>
          <w:lang w:val="en-US"/>
        </w:rPr>
      </w:pPr>
      <w:r w:rsidRPr="008B4D4B">
        <w:rPr>
          <w:rFonts w:ascii="Didot" w:hAnsi="Didot" w:cs="Didot"/>
          <w:sz w:val="22"/>
          <w:szCs w:val="22"/>
          <w:lang w:val="en-US"/>
        </w:rPr>
        <w:t xml:space="preserve">The main deficiency is the questionable adherence to evidence-based approaches for violence prevention, either because evidence-based practice is not well understood or it is simply ignored because it impinges on competing priorities. In the last month the Provincial Government has proposed changes to its Provincial Transversal Management System and the consolidation of a Strategic Objective to Increase wellness, safety and tackle social ills. Developing a stronger oversight mechanism to improve adherence and perform stewardship and evaluative functions for a raft of wholly or partly funded approved violence prevention interventions should be one of its key priorities. </w:t>
      </w:r>
    </w:p>
    <w:p w14:paraId="5439BE9A"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lastRenderedPageBreak/>
        <w:t xml:space="preserve">Current interventions should be critically appraised to show their strengths and to highlight critical areas that need to be improved to demonstrate “effectiveness”.  </w:t>
      </w:r>
    </w:p>
    <w:p w14:paraId="465201DF" w14:textId="77777777" w:rsidR="00540C57" w:rsidRPr="008B4D4B" w:rsidRDefault="00540C57" w:rsidP="008A7E29">
      <w:pPr>
        <w:jc w:val="both"/>
        <w:rPr>
          <w:rFonts w:ascii="Didot" w:hAnsi="Didot" w:cs="Didot"/>
          <w:sz w:val="22"/>
          <w:szCs w:val="22"/>
        </w:rPr>
      </w:pPr>
      <w:r w:rsidRPr="008B4D4B">
        <w:rPr>
          <w:rFonts w:ascii="Didot" w:hAnsi="Didot" w:cs="Didot"/>
          <w:sz w:val="22"/>
          <w:szCs w:val="22"/>
        </w:rPr>
        <w:t xml:space="preserve">A Steering Committee should be established that includes academics with knowledge of evidence-based research and decision makers from within government. </w:t>
      </w:r>
    </w:p>
    <w:p w14:paraId="531E9F61" w14:textId="77777777" w:rsidR="00160E26" w:rsidRPr="008B4D4B" w:rsidRDefault="00540C57" w:rsidP="008A7E29">
      <w:pPr>
        <w:jc w:val="both"/>
        <w:rPr>
          <w:rFonts w:ascii="Didot" w:hAnsi="Didot" w:cs="Didot"/>
          <w:sz w:val="22"/>
          <w:szCs w:val="22"/>
        </w:rPr>
        <w:sectPr w:rsidR="00160E26" w:rsidRPr="008B4D4B" w:rsidSect="00160E26">
          <w:type w:val="continuous"/>
          <w:pgSz w:w="12240" w:h="15840" w:code="1"/>
          <w:pgMar w:top="1380" w:right="1680" w:bottom="280" w:left="1520" w:header="720" w:footer="720" w:gutter="0"/>
          <w:cols w:space="720"/>
          <w:docGrid w:linePitch="299"/>
        </w:sectPr>
      </w:pPr>
      <w:r w:rsidRPr="008B4D4B">
        <w:rPr>
          <w:rFonts w:ascii="Didot" w:hAnsi="Didot" w:cs="Didot"/>
          <w:sz w:val="22"/>
          <w:szCs w:val="22"/>
        </w:rPr>
        <w:t>Formative research should be undertaken to assess and shape decision makers’ understanding of what defines and constitutes evidence, how evidence is used and which other factor</w:t>
      </w:r>
      <w:r w:rsidR="001A057F" w:rsidRPr="008B4D4B">
        <w:rPr>
          <w:rFonts w:ascii="Didot" w:hAnsi="Didot" w:cs="Didot"/>
          <w:sz w:val="22"/>
          <w:szCs w:val="22"/>
        </w:rPr>
        <w:t>s drive intervention responses.</w:t>
      </w:r>
    </w:p>
    <w:p w14:paraId="58D51E22" w14:textId="77777777" w:rsidR="00540C57" w:rsidRPr="008B4D4B" w:rsidRDefault="00540C57" w:rsidP="008A7E29">
      <w:pPr>
        <w:jc w:val="both"/>
        <w:rPr>
          <w:rFonts w:ascii="Didot" w:hAnsi="Didot" w:cs="Didot"/>
          <w:sz w:val="22"/>
          <w:szCs w:val="22"/>
        </w:rPr>
      </w:pPr>
      <w:bookmarkStart w:id="16" w:name="_Toc272639890"/>
      <w:r w:rsidRPr="008B4D4B">
        <w:rPr>
          <w:rFonts w:ascii="Didot" w:hAnsi="Didot" w:cs="Didot"/>
          <w:sz w:val="22"/>
          <w:szCs w:val="22"/>
        </w:rPr>
        <w:lastRenderedPageBreak/>
        <w:t>References</w:t>
      </w:r>
      <w:bookmarkEnd w:id="16"/>
    </w:p>
    <w:p w14:paraId="02F1ECA6" w14:textId="77777777" w:rsidR="00540C57" w:rsidRPr="008B4D4B" w:rsidRDefault="00AF1CEC" w:rsidP="008A7E29">
      <w:pPr>
        <w:jc w:val="both"/>
        <w:rPr>
          <w:rFonts w:ascii="Didot" w:hAnsi="Didot" w:cs="Didot"/>
          <w:noProof/>
          <w:sz w:val="22"/>
          <w:szCs w:val="22"/>
        </w:rPr>
      </w:pPr>
      <w:r w:rsidRPr="008B4D4B">
        <w:rPr>
          <w:rFonts w:ascii="Didot" w:hAnsi="Didot" w:cs="Didot"/>
          <w:sz w:val="22"/>
          <w:szCs w:val="22"/>
        </w:rPr>
        <w:fldChar w:fldCharType="begin" w:fldLock="1"/>
      </w:r>
      <w:r w:rsidR="00540C57" w:rsidRPr="008B4D4B">
        <w:rPr>
          <w:rFonts w:ascii="Didot" w:hAnsi="Didot" w:cs="Didot"/>
          <w:sz w:val="22"/>
          <w:szCs w:val="22"/>
        </w:rPr>
        <w:instrText xml:space="preserve">ADDIN Mendeley Bibliography CSL_BIBLIOGRAPHY </w:instrText>
      </w:r>
      <w:r w:rsidRPr="008B4D4B">
        <w:rPr>
          <w:rFonts w:ascii="Didot" w:hAnsi="Didot" w:cs="Didot"/>
          <w:sz w:val="22"/>
          <w:szCs w:val="22"/>
        </w:rPr>
        <w:fldChar w:fldCharType="separate"/>
      </w:r>
      <w:r w:rsidR="00540C57" w:rsidRPr="008B4D4B">
        <w:rPr>
          <w:rFonts w:ascii="Didot" w:hAnsi="Didot" w:cs="Didot"/>
          <w:noProof/>
          <w:sz w:val="22"/>
          <w:szCs w:val="22"/>
        </w:rPr>
        <w:t xml:space="preserve">1 </w:t>
      </w:r>
      <w:r w:rsidR="00540C57" w:rsidRPr="008B4D4B">
        <w:rPr>
          <w:rFonts w:ascii="Didot" w:hAnsi="Didot" w:cs="Didot"/>
          <w:noProof/>
          <w:sz w:val="22"/>
          <w:szCs w:val="22"/>
        </w:rPr>
        <w:tab/>
        <w:t xml:space="preserve">Bradshaw D, Nannan N, Laubscher R, </w:t>
      </w:r>
      <w:r w:rsidR="00540C57" w:rsidRPr="008B4D4B">
        <w:rPr>
          <w:rFonts w:ascii="Didot" w:hAnsi="Didot" w:cs="Didot"/>
          <w:i/>
          <w:iCs/>
          <w:noProof/>
          <w:sz w:val="22"/>
          <w:szCs w:val="22"/>
        </w:rPr>
        <w:t>et al.</w:t>
      </w:r>
      <w:r w:rsidR="00540C57" w:rsidRPr="008B4D4B">
        <w:rPr>
          <w:rFonts w:ascii="Didot" w:hAnsi="Didot" w:cs="Didot"/>
          <w:noProof/>
          <w:sz w:val="22"/>
          <w:szCs w:val="22"/>
        </w:rPr>
        <w:t xml:space="preserve"> South African National Burden of Disease Study 2000: Estimates of Provincial Mortality. Tygerberg: : Medical Research Council 2004. </w:t>
      </w:r>
    </w:p>
    <w:p w14:paraId="16105E2B"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2 </w:t>
      </w:r>
      <w:r w:rsidRPr="008B4D4B">
        <w:rPr>
          <w:rFonts w:ascii="Didot" w:hAnsi="Didot" w:cs="Didot"/>
          <w:noProof/>
          <w:sz w:val="22"/>
          <w:szCs w:val="22"/>
        </w:rPr>
        <w:tab/>
        <w:t xml:space="preserve">HEalth WHOC on SD of. </w:t>
      </w:r>
      <w:r w:rsidRPr="008B4D4B">
        <w:rPr>
          <w:rFonts w:ascii="Didot" w:hAnsi="Didot" w:cs="Didot"/>
          <w:i/>
          <w:iCs/>
          <w:noProof/>
          <w:sz w:val="22"/>
          <w:szCs w:val="22"/>
        </w:rPr>
        <w:t>Action on the social determinants of health: Learning from previous experiences</w:t>
      </w:r>
      <w:r w:rsidRPr="008B4D4B">
        <w:rPr>
          <w:rFonts w:ascii="Didot" w:hAnsi="Didot" w:cs="Didot"/>
          <w:noProof/>
          <w:sz w:val="22"/>
          <w:szCs w:val="22"/>
        </w:rPr>
        <w:t xml:space="preserve">. Geneva: : World Health Organisation 2005. </w:t>
      </w:r>
    </w:p>
    <w:p w14:paraId="0CF96481"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3 </w:t>
      </w:r>
      <w:r w:rsidRPr="008B4D4B">
        <w:rPr>
          <w:rFonts w:ascii="Didot" w:hAnsi="Didot" w:cs="Didot"/>
          <w:noProof/>
          <w:sz w:val="22"/>
          <w:szCs w:val="22"/>
        </w:rPr>
        <w:tab/>
        <w:t xml:space="preserve">Guerrero R. Violence prevention through multi-sectoral partnerships: the cases of Cali and Bogotá, Colombia. </w:t>
      </w:r>
      <w:r w:rsidRPr="008B4D4B">
        <w:rPr>
          <w:rFonts w:ascii="Didot" w:hAnsi="Didot" w:cs="Didot"/>
          <w:i/>
          <w:iCs/>
          <w:noProof/>
          <w:sz w:val="22"/>
          <w:szCs w:val="22"/>
        </w:rPr>
        <w:t>African Saf Promot a J Inj violence Prev</w:t>
      </w:r>
      <w:r w:rsidRPr="008B4D4B">
        <w:rPr>
          <w:rFonts w:ascii="Didot" w:hAnsi="Didot" w:cs="Didot"/>
          <w:noProof/>
          <w:sz w:val="22"/>
          <w:szCs w:val="22"/>
        </w:rPr>
        <w:t xml:space="preserve"> 2006;4:88–98.</w:t>
      </w:r>
    </w:p>
    <w:p w14:paraId="56915AEA"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4 </w:t>
      </w:r>
      <w:r w:rsidRPr="008B4D4B">
        <w:rPr>
          <w:rFonts w:ascii="Didot" w:hAnsi="Didot" w:cs="Didot"/>
          <w:noProof/>
          <w:sz w:val="22"/>
          <w:szCs w:val="22"/>
        </w:rPr>
        <w:tab/>
        <w:t xml:space="preserve">Kopel H, Friedman M. Posttraumatic symptoms in South African police exposed to violence. </w:t>
      </w:r>
      <w:r w:rsidRPr="008B4D4B">
        <w:rPr>
          <w:rFonts w:ascii="Didot" w:hAnsi="Didot" w:cs="Didot"/>
          <w:i/>
          <w:iCs/>
          <w:noProof/>
          <w:sz w:val="22"/>
          <w:szCs w:val="22"/>
        </w:rPr>
        <w:t>J Trauma Stress</w:t>
      </w:r>
      <w:r w:rsidRPr="008B4D4B">
        <w:rPr>
          <w:rFonts w:ascii="Didot" w:hAnsi="Didot" w:cs="Didot"/>
          <w:noProof/>
          <w:sz w:val="22"/>
          <w:szCs w:val="22"/>
        </w:rPr>
        <w:t xml:space="preserve"> 1997;10:307–17.</w:t>
      </w:r>
    </w:p>
    <w:p w14:paraId="2159A9BD"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5 </w:t>
      </w:r>
      <w:r w:rsidRPr="008B4D4B">
        <w:rPr>
          <w:rFonts w:ascii="Didot" w:hAnsi="Didot" w:cs="Didot"/>
          <w:noProof/>
          <w:sz w:val="22"/>
          <w:szCs w:val="22"/>
        </w:rPr>
        <w:tab/>
        <w:t xml:space="preserve">Morojele NK, Brook JS. Substance abuse and multiple victimisation among adolescents in South Africa. </w:t>
      </w:r>
      <w:r w:rsidRPr="008B4D4B">
        <w:rPr>
          <w:rFonts w:ascii="Didot" w:hAnsi="Didot" w:cs="Didot"/>
          <w:i/>
          <w:iCs/>
          <w:noProof/>
          <w:sz w:val="22"/>
          <w:szCs w:val="22"/>
        </w:rPr>
        <w:t>Addict Behav</w:t>
      </w:r>
      <w:r w:rsidRPr="008B4D4B">
        <w:rPr>
          <w:rFonts w:ascii="Didot" w:hAnsi="Didot" w:cs="Didot"/>
          <w:noProof/>
          <w:sz w:val="22"/>
          <w:szCs w:val="22"/>
        </w:rPr>
        <w:t xml:space="preserve"> 2006;31:1163–76.</w:t>
      </w:r>
    </w:p>
    <w:p w14:paraId="07D16C43"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6 </w:t>
      </w:r>
      <w:r w:rsidRPr="008B4D4B">
        <w:rPr>
          <w:rFonts w:ascii="Didot" w:hAnsi="Didot" w:cs="Didot"/>
          <w:noProof/>
          <w:sz w:val="22"/>
          <w:szCs w:val="22"/>
        </w:rPr>
        <w:tab/>
        <w:t xml:space="preserve">Peltzer K. Posttraumatic stress symptoms in a population of rural children in South Africa. </w:t>
      </w:r>
      <w:r w:rsidRPr="008B4D4B">
        <w:rPr>
          <w:rFonts w:ascii="Didot" w:hAnsi="Didot" w:cs="Didot"/>
          <w:i/>
          <w:iCs/>
          <w:noProof/>
          <w:sz w:val="22"/>
          <w:szCs w:val="22"/>
        </w:rPr>
        <w:t>Psychol Rep</w:t>
      </w:r>
      <w:r w:rsidRPr="008B4D4B">
        <w:rPr>
          <w:rFonts w:ascii="Didot" w:hAnsi="Didot" w:cs="Didot"/>
          <w:noProof/>
          <w:sz w:val="22"/>
          <w:szCs w:val="22"/>
        </w:rPr>
        <w:t xml:space="preserve"> 1999;85:646–50.</w:t>
      </w:r>
    </w:p>
    <w:p w14:paraId="08330D73"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7 </w:t>
      </w:r>
      <w:r w:rsidRPr="008B4D4B">
        <w:rPr>
          <w:rFonts w:ascii="Didot" w:hAnsi="Didot" w:cs="Didot"/>
          <w:noProof/>
          <w:sz w:val="22"/>
          <w:szCs w:val="22"/>
        </w:rPr>
        <w:tab/>
        <w:t xml:space="preserve">Seedat S, Nyamai C, Njenga F, </w:t>
      </w:r>
      <w:r w:rsidRPr="008B4D4B">
        <w:rPr>
          <w:rFonts w:ascii="Didot" w:hAnsi="Didot" w:cs="Didot"/>
          <w:i/>
          <w:iCs/>
          <w:noProof/>
          <w:sz w:val="22"/>
          <w:szCs w:val="22"/>
        </w:rPr>
        <w:t>et al.</w:t>
      </w:r>
      <w:r w:rsidRPr="008B4D4B">
        <w:rPr>
          <w:rFonts w:ascii="Didot" w:hAnsi="Didot" w:cs="Didot"/>
          <w:noProof/>
          <w:sz w:val="22"/>
          <w:szCs w:val="22"/>
        </w:rPr>
        <w:t xml:space="preserve"> Trauma exposure and post-traumatic stress symptoms in urban African schools. Survey in CapeTown and Nairobi. </w:t>
      </w:r>
      <w:r w:rsidRPr="008B4D4B">
        <w:rPr>
          <w:rFonts w:ascii="Didot" w:hAnsi="Didot" w:cs="Didot"/>
          <w:i/>
          <w:iCs/>
          <w:noProof/>
          <w:sz w:val="22"/>
          <w:szCs w:val="22"/>
        </w:rPr>
        <w:t>Br J Psychiatry</w:t>
      </w:r>
      <w:r w:rsidRPr="008B4D4B">
        <w:rPr>
          <w:rFonts w:ascii="Didot" w:hAnsi="Didot" w:cs="Didot"/>
          <w:noProof/>
          <w:sz w:val="22"/>
          <w:szCs w:val="22"/>
        </w:rPr>
        <w:t xml:space="preserve"> 2004;184:169–75.</w:t>
      </w:r>
    </w:p>
    <w:p w14:paraId="2997B6B7"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8 </w:t>
      </w:r>
      <w:r w:rsidRPr="008B4D4B">
        <w:rPr>
          <w:rFonts w:ascii="Didot" w:hAnsi="Didot" w:cs="Didot"/>
          <w:noProof/>
          <w:sz w:val="22"/>
          <w:szCs w:val="22"/>
        </w:rPr>
        <w:tab/>
        <w:t xml:space="preserve">Ward C, Flisher AJ, Zissis C, </w:t>
      </w:r>
      <w:r w:rsidRPr="008B4D4B">
        <w:rPr>
          <w:rFonts w:ascii="Didot" w:hAnsi="Didot" w:cs="Didot"/>
          <w:i/>
          <w:iCs/>
          <w:noProof/>
          <w:sz w:val="22"/>
          <w:szCs w:val="22"/>
        </w:rPr>
        <w:t>et al.</w:t>
      </w:r>
      <w:r w:rsidRPr="008B4D4B">
        <w:rPr>
          <w:rFonts w:ascii="Didot" w:hAnsi="Didot" w:cs="Didot"/>
          <w:noProof/>
          <w:sz w:val="22"/>
          <w:szCs w:val="22"/>
        </w:rPr>
        <w:t xml:space="preserve"> Exposure to violennce and associated psychopathology in adolescents. </w:t>
      </w:r>
      <w:r w:rsidRPr="008B4D4B">
        <w:rPr>
          <w:rFonts w:ascii="Didot" w:hAnsi="Didot" w:cs="Didot"/>
          <w:i/>
          <w:iCs/>
          <w:noProof/>
          <w:sz w:val="22"/>
          <w:szCs w:val="22"/>
        </w:rPr>
        <w:t>Inj Prev</w:t>
      </w:r>
      <w:r w:rsidRPr="008B4D4B">
        <w:rPr>
          <w:rFonts w:ascii="Didot" w:hAnsi="Didot" w:cs="Didot"/>
          <w:noProof/>
          <w:sz w:val="22"/>
          <w:szCs w:val="22"/>
        </w:rPr>
        <w:t xml:space="preserve"> 2001;7:297–301.</w:t>
      </w:r>
    </w:p>
    <w:p w14:paraId="3C495E53"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9 </w:t>
      </w:r>
      <w:r w:rsidRPr="008B4D4B">
        <w:rPr>
          <w:rFonts w:ascii="Didot" w:hAnsi="Didot" w:cs="Didot"/>
          <w:noProof/>
          <w:sz w:val="22"/>
          <w:szCs w:val="22"/>
        </w:rPr>
        <w:tab/>
        <w:t xml:space="preserve">Abrahams N, Jewkes R. Effects of South African men’s having witnessed abuse of their mothers during childhood on their levels of violence in adulthood. </w:t>
      </w:r>
      <w:r w:rsidRPr="008B4D4B">
        <w:rPr>
          <w:rFonts w:ascii="Didot" w:hAnsi="Didot" w:cs="Didot"/>
          <w:i/>
          <w:iCs/>
          <w:noProof/>
          <w:sz w:val="22"/>
          <w:szCs w:val="22"/>
        </w:rPr>
        <w:t>Am J Public Health</w:t>
      </w:r>
      <w:r w:rsidRPr="008B4D4B">
        <w:rPr>
          <w:rFonts w:ascii="Didot" w:hAnsi="Didot" w:cs="Didot"/>
          <w:noProof/>
          <w:sz w:val="22"/>
          <w:szCs w:val="22"/>
        </w:rPr>
        <w:t xml:space="preserve"> 2005;95:1811–6.</w:t>
      </w:r>
    </w:p>
    <w:p w14:paraId="65B479CE"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10 </w:t>
      </w:r>
      <w:r w:rsidRPr="008B4D4B">
        <w:rPr>
          <w:rFonts w:ascii="Didot" w:hAnsi="Didot" w:cs="Didot"/>
          <w:noProof/>
          <w:sz w:val="22"/>
          <w:szCs w:val="22"/>
        </w:rPr>
        <w:tab/>
        <w:t xml:space="preserve">Corrigall J, Matzopoulos R. Violence, alcohol misuse and mental health: gaps in the health system’s response. In: Padarath A, English R, eds. </w:t>
      </w:r>
      <w:r w:rsidRPr="008B4D4B">
        <w:rPr>
          <w:rFonts w:ascii="Didot" w:hAnsi="Didot" w:cs="Didot"/>
          <w:i/>
          <w:iCs/>
          <w:noProof/>
          <w:sz w:val="22"/>
          <w:szCs w:val="22"/>
        </w:rPr>
        <w:t>South African Health Review 2012/13</w:t>
      </w:r>
      <w:r w:rsidRPr="008B4D4B">
        <w:rPr>
          <w:rFonts w:ascii="Didot" w:hAnsi="Didot" w:cs="Didot"/>
          <w:noProof/>
          <w:sz w:val="22"/>
          <w:szCs w:val="22"/>
        </w:rPr>
        <w:t>. Durban: : Health Systems Trust 2013. 103–14.</w:t>
      </w:r>
    </w:p>
    <w:p w14:paraId="57B1C401"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11 </w:t>
      </w:r>
      <w:r w:rsidRPr="008B4D4B">
        <w:rPr>
          <w:rFonts w:ascii="Didot" w:hAnsi="Didot" w:cs="Didot"/>
          <w:noProof/>
          <w:sz w:val="22"/>
          <w:szCs w:val="22"/>
        </w:rPr>
        <w:tab/>
        <w:t xml:space="preserve">Mathews S, Abrahams N, Jewkes R, </w:t>
      </w:r>
      <w:r w:rsidRPr="008B4D4B">
        <w:rPr>
          <w:rFonts w:ascii="Didot" w:hAnsi="Didot" w:cs="Didot"/>
          <w:i/>
          <w:iCs/>
          <w:noProof/>
          <w:sz w:val="22"/>
          <w:szCs w:val="22"/>
        </w:rPr>
        <w:t>et al.</w:t>
      </w:r>
      <w:r w:rsidRPr="008B4D4B">
        <w:rPr>
          <w:rFonts w:ascii="Didot" w:hAnsi="Didot" w:cs="Didot"/>
          <w:noProof/>
          <w:sz w:val="22"/>
          <w:szCs w:val="22"/>
        </w:rPr>
        <w:t xml:space="preserve"> Alcohol Use and Its Role in Female Homicides in the Western Cape, South Africa. </w:t>
      </w:r>
      <w:r w:rsidRPr="008B4D4B">
        <w:rPr>
          <w:rFonts w:ascii="Didot" w:hAnsi="Didot" w:cs="Didot"/>
          <w:i/>
          <w:iCs/>
          <w:noProof/>
          <w:sz w:val="22"/>
          <w:szCs w:val="22"/>
        </w:rPr>
        <w:t>J Stud Alcohol Drugs</w:t>
      </w:r>
      <w:r w:rsidRPr="008B4D4B">
        <w:rPr>
          <w:rFonts w:ascii="Didot" w:hAnsi="Didot" w:cs="Didot"/>
          <w:noProof/>
          <w:sz w:val="22"/>
          <w:szCs w:val="22"/>
        </w:rPr>
        <w:t xml:space="preserve"> 2009;70:321–7.</w:t>
      </w:r>
    </w:p>
    <w:p w14:paraId="59B930FB"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12 </w:t>
      </w:r>
      <w:r w:rsidRPr="008B4D4B">
        <w:rPr>
          <w:rFonts w:ascii="Didot" w:hAnsi="Didot" w:cs="Didot"/>
          <w:noProof/>
          <w:sz w:val="22"/>
          <w:szCs w:val="22"/>
        </w:rPr>
        <w:tab/>
        <w:t xml:space="preserve">Reddy SP, James S, Sewpaul R, Koopman F, Funani NI, Sifunda S, Josie J, Masuka P, Kambaran NS OR. </w:t>
      </w:r>
      <w:r w:rsidRPr="008B4D4B">
        <w:rPr>
          <w:rFonts w:ascii="Didot" w:hAnsi="Didot" w:cs="Didot"/>
          <w:i/>
          <w:iCs/>
          <w:noProof/>
          <w:sz w:val="22"/>
          <w:szCs w:val="22"/>
        </w:rPr>
        <w:t>The 2nd South African National Youth Risk Behaviour Survey: 2008</w:t>
      </w:r>
      <w:r w:rsidRPr="008B4D4B">
        <w:rPr>
          <w:rFonts w:ascii="Didot" w:hAnsi="Didot" w:cs="Didot"/>
          <w:noProof/>
          <w:sz w:val="22"/>
          <w:szCs w:val="22"/>
        </w:rPr>
        <w:t xml:space="preserve">. 2010. </w:t>
      </w:r>
    </w:p>
    <w:p w14:paraId="3098E620"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13 </w:t>
      </w:r>
      <w:r w:rsidRPr="008B4D4B">
        <w:rPr>
          <w:rFonts w:ascii="Didot" w:hAnsi="Didot" w:cs="Didot"/>
          <w:noProof/>
          <w:sz w:val="22"/>
          <w:szCs w:val="22"/>
        </w:rPr>
        <w:tab/>
        <w:t>World Bank GINI index. http://data.worldbank.org/indicator/SI.POV.GINI/ (accessed 4 Aug2014).</w:t>
      </w:r>
    </w:p>
    <w:p w14:paraId="74C12467"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14 </w:t>
      </w:r>
      <w:r w:rsidRPr="008B4D4B">
        <w:rPr>
          <w:rFonts w:ascii="Didot" w:hAnsi="Didot" w:cs="Didot"/>
          <w:noProof/>
          <w:sz w:val="22"/>
          <w:szCs w:val="22"/>
        </w:rPr>
        <w:tab/>
        <w:t xml:space="preserve">Altbeker A. Adding Insult to Injury: How Exclusion and Inequality Drive South Africa’s Problem of Violence. Report #4 of CSVR Study of Violent Crime. Johannesburg: 2008. </w:t>
      </w:r>
    </w:p>
    <w:p w14:paraId="309E67E6"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15 </w:t>
      </w:r>
      <w:r w:rsidRPr="008B4D4B">
        <w:rPr>
          <w:rFonts w:ascii="Didot" w:hAnsi="Didot" w:cs="Didot"/>
          <w:noProof/>
          <w:sz w:val="22"/>
          <w:szCs w:val="22"/>
        </w:rPr>
        <w:tab/>
        <w:t xml:space="preserve">Matzopoulos R, Bowman B, Mathews S, </w:t>
      </w:r>
      <w:r w:rsidRPr="008B4D4B">
        <w:rPr>
          <w:rFonts w:ascii="Didot" w:hAnsi="Didot" w:cs="Didot"/>
          <w:i/>
          <w:iCs/>
          <w:noProof/>
          <w:sz w:val="22"/>
          <w:szCs w:val="22"/>
        </w:rPr>
        <w:t>et al.</w:t>
      </w:r>
      <w:r w:rsidRPr="008B4D4B">
        <w:rPr>
          <w:rFonts w:ascii="Didot" w:hAnsi="Didot" w:cs="Didot"/>
          <w:noProof/>
          <w:sz w:val="22"/>
          <w:szCs w:val="22"/>
        </w:rPr>
        <w:t xml:space="preserve"> Applying upstream interventions for interpersonal violence prevention: an uphill struggle in low- to middle-income contexts. </w:t>
      </w:r>
      <w:r w:rsidRPr="008B4D4B">
        <w:rPr>
          <w:rFonts w:ascii="Didot" w:hAnsi="Didot" w:cs="Didot"/>
          <w:i/>
          <w:iCs/>
          <w:noProof/>
          <w:sz w:val="22"/>
          <w:szCs w:val="22"/>
        </w:rPr>
        <w:t>Health Policy</w:t>
      </w:r>
      <w:r w:rsidRPr="008B4D4B">
        <w:rPr>
          <w:rFonts w:ascii="Didot" w:hAnsi="Didot" w:cs="Didot"/>
          <w:noProof/>
          <w:sz w:val="22"/>
          <w:szCs w:val="22"/>
        </w:rPr>
        <w:t xml:space="preserve"> 2010;97:62–70.</w:t>
      </w:r>
    </w:p>
    <w:p w14:paraId="4804AC5C"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t xml:space="preserve">16 </w:t>
      </w:r>
      <w:r w:rsidRPr="008B4D4B">
        <w:rPr>
          <w:rFonts w:ascii="Didot" w:hAnsi="Didot" w:cs="Didot"/>
          <w:noProof/>
          <w:sz w:val="22"/>
          <w:szCs w:val="22"/>
        </w:rPr>
        <w:tab/>
        <w:t xml:space="preserve">Govender I, Matzopoulos R, Makanga P, </w:t>
      </w:r>
      <w:r w:rsidRPr="008B4D4B">
        <w:rPr>
          <w:rFonts w:ascii="Didot" w:hAnsi="Didot" w:cs="Didot"/>
          <w:i/>
          <w:iCs/>
          <w:noProof/>
          <w:sz w:val="22"/>
          <w:szCs w:val="22"/>
        </w:rPr>
        <w:t>et al.</w:t>
      </w:r>
      <w:r w:rsidRPr="008B4D4B">
        <w:rPr>
          <w:rFonts w:ascii="Didot" w:hAnsi="Didot" w:cs="Didot"/>
          <w:noProof/>
          <w:sz w:val="22"/>
          <w:szCs w:val="22"/>
        </w:rPr>
        <w:t xml:space="preserve"> Piloting a trauma surveillance tool for primary healthcare emergency centres. </w:t>
      </w:r>
      <w:r w:rsidRPr="008B4D4B">
        <w:rPr>
          <w:rFonts w:ascii="Didot" w:hAnsi="Didot" w:cs="Didot"/>
          <w:i/>
          <w:iCs/>
          <w:noProof/>
          <w:sz w:val="22"/>
          <w:szCs w:val="22"/>
        </w:rPr>
        <w:t>S Afr Med J</w:t>
      </w:r>
      <w:r w:rsidRPr="008B4D4B">
        <w:rPr>
          <w:rFonts w:ascii="Didot" w:hAnsi="Didot" w:cs="Didot"/>
          <w:noProof/>
          <w:sz w:val="22"/>
          <w:szCs w:val="22"/>
        </w:rPr>
        <w:t xml:space="preserve"> 2012;102:303–6.</w:t>
      </w:r>
    </w:p>
    <w:p w14:paraId="76551C09" w14:textId="77777777" w:rsidR="00540C57" w:rsidRPr="008B4D4B" w:rsidRDefault="00540C57" w:rsidP="008A7E29">
      <w:pPr>
        <w:jc w:val="both"/>
        <w:rPr>
          <w:rFonts w:ascii="Didot" w:hAnsi="Didot" w:cs="Didot"/>
          <w:noProof/>
          <w:sz w:val="22"/>
          <w:szCs w:val="22"/>
        </w:rPr>
      </w:pPr>
      <w:r w:rsidRPr="008B4D4B">
        <w:rPr>
          <w:rFonts w:ascii="Didot" w:hAnsi="Didot" w:cs="Didot"/>
          <w:noProof/>
          <w:sz w:val="22"/>
          <w:szCs w:val="22"/>
        </w:rPr>
        <w:lastRenderedPageBreak/>
        <w:t xml:space="preserve">17 </w:t>
      </w:r>
      <w:r w:rsidRPr="008B4D4B">
        <w:rPr>
          <w:rFonts w:ascii="Didot" w:hAnsi="Didot" w:cs="Didot"/>
          <w:noProof/>
          <w:sz w:val="22"/>
          <w:szCs w:val="22"/>
        </w:rPr>
        <w:tab/>
        <w:t xml:space="preserve">Matzopoulos R, Martin LJ, Wadee S, </w:t>
      </w:r>
      <w:r w:rsidRPr="008B4D4B">
        <w:rPr>
          <w:rFonts w:ascii="Didot" w:hAnsi="Didot" w:cs="Didot"/>
          <w:i/>
          <w:iCs/>
          <w:noProof/>
          <w:sz w:val="22"/>
          <w:szCs w:val="22"/>
        </w:rPr>
        <w:t>et al.</w:t>
      </w:r>
      <w:r w:rsidRPr="008B4D4B">
        <w:rPr>
          <w:rFonts w:ascii="Didot" w:hAnsi="Didot" w:cs="Didot"/>
          <w:noProof/>
          <w:sz w:val="22"/>
          <w:szCs w:val="22"/>
        </w:rPr>
        <w:t xml:space="preserve"> The Provincial Injury Mortality Surveillance System (PIMSS): a surveillance tool for the Western Cape. </w:t>
      </w:r>
      <w:r w:rsidRPr="008B4D4B">
        <w:rPr>
          <w:rFonts w:ascii="Didot" w:hAnsi="Didot" w:cs="Didot"/>
          <w:i/>
          <w:iCs/>
          <w:noProof/>
          <w:sz w:val="22"/>
          <w:szCs w:val="22"/>
        </w:rPr>
        <w:t>Inj Prev</w:t>
      </w:r>
      <w:r w:rsidRPr="008B4D4B">
        <w:rPr>
          <w:rFonts w:ascii="Didot" w:hAnsi="Didot" w:cs="Didot"/>
          <w:noProof/>
          <w:sz w:val="22"/>
          <w:szCs w:val="22"/>
        </w:rPr>
        <w:t xml:space="preserve"> 2010;16:A47–A48. </w:t>
      </w:r>
    </w:p>
    <w:p w14:paraId="3A218493" w14:textId="77777777" w:rsidR="00160E26" w:rsidRPr="006916FC" w:rsidRDefault="00AF1CEC" w:rsidP="008A7E29">
      <w:pPr>
        <w:jc w:val="both"/>
        <w:rPr>
          <w:rFonts w:ascii="Didot" w:hAnsi="Didot" w:cs="Didot"/>
        </w:rPr>
        <w:sectPr w:rsidR="00160E26" w:rsidRPr="006916FC" w:rsidSect="00160E26">
          <w:type w:val="continuous"/>
          <w:pgSz w:w="12240" w:h="15840" w:code="1"/>
          <w:pgMar w:top="1380" w:right="1680" w:bottom="280" w:left="1520" w:header="720" w:footer="720" w:gutter="0"/>
          <w:cols w:space="720"/>
          <w:docGrid w:linePitch="299"/>
        </w:sectPr>
      </w:pPr>
      <w:r w:rsidRPr="008B4D4B">
        <w:rPr>
          <w:rFonts w:ascii="Didot" w:hAnsi="Didot" w:cs="Didot"/>
          <w:sz w:val="22"/>
          <w:szCs w:val="22"/>
        </w:rPr>
        <w:fldChar w:fldCharType="end"/>
      </w:r>
    </w:p>
    <w:p w14:paraId="29F19A97" w14:textId="77777777" w:rsidR="001A057F" w:rsidRPr="006916FC" w:rsidRDefault="001A057F" w:rsidP="008A7E29">
      <w:pPr>
        <w:pBdr>
          <w:bottom w:val="single" w:sz="6" w:space="1" w:color="auto"/>
        </w:pBdr>
        <w:jc w:val="both"/>
        <w:rPr>
          <w:rFonts w:ascii="Didot" w:hAnsi="Didot" w:cs="Didot"/>
          <w:b/>
          <w:color w:val="121212"/>
          <w:sz w:val="28"/>
          <w:szCs w:val="28"/>
          <w:lang w:val="en-US"/>
        </w:rPr>
      </w:pPr>
    </w:p>
    <w:p w14:paraId="7DCD77F6" w14:textId="77777777" w:rsidR="0070643D" w:rsidRPr="006916FC" w:rsidRDefault="0070643D" w:rsidP="008A7E29">
      <w:pPr>
        <w:jc w:val="both"/>
        <w:rPr>
          <w:rFonts w:ascii="Didot" w:hAnsi="Didot" w:cs="Didot"/>
          <w:b/>
          <w:color w:val="121212"/>
          <w:sz w:val="28"/>
          <w:szCs w:val="28"/>
          <w:lang w:val="en-US"/>
        </w:rPr>
      </w:pPr>
    </w:p>
    <w:p w14:paraId="4E80095C" w14:textId="77777777" w:rsidR="000D6A2E" w:rsidRPr="006916FC" w:rsidRDefault="000D6A2E" w:rsidP="008A7E29">
      <w:pPr>
        <w:pStyle w:val="Heading2"/>
        <w:jc w:val="both"/>
        <w:rPr>
          <w:rFonts w:ascii="Didot" w:hAnsi="Didot" w:cs="Didot"/>
          <w:color w:val="auto"/>
          <w:sz w:val="34"/>
          <w:szCs w:val="34"/>
        </w:rPr>
      </w:pPr>
      <w:bookmarkStart w:id="17" w:name="_Toc272639891"/>
      <w:bookmarkStart w:id="18" w:name="_Toc272645014"/>
      <w:r w:rsidRPr="006916FC">
        <w:rPr>
          <w:rFonts w:ascii="Didot" w:hAnsi="Didot" w:cs="Didot"/>
          <w:color w:val="auto"/>
          <w:sz w:val="34"/>
          <w:szCs w:val="34"/>
        </w:rPr>
        <w:t>Karen Hughes</w:t>
      </w:r>
      <w:bookmarkEnd w:id="17"/>
      <w:bookmarkEnd w:id="18"/>
      <w:r w:rsidRPr="006916FC">
        <w:rPr>
          <w:rFonts w:ascii="Didot" w:hAnsi="Didot" w:cs="Didot"/>
          <w:color w:val="auto"/>
          <w:sz w:val="34"/>
          <w:szCs w:val="34"/>
        </w:rPr>
        <w:t xml:space="preserve"> </w:t>
      </w:r>
    </w:p>
    <w:p w14:paraId="20F3E4F7" w14:textId="77777777" w:rsidR="00362AAD" w:rsidRPr="006916FC" w:rsidRDefault="00362AAD" w:rsidP="008A7E29">
      <w:pPr>
        <w:jc w:val="both"/>
        <w:rPr>
          <w:rFonts w:ascii="Didot" w:hAnsi="Didot" w:cs="Didot"/>
          <w:b/>
          <w:color w:val="121212"/>
          <w:lang w:val="en-US"/>
        </w:rPr>
      </w:pPr>
    </w:p>
    <w:p w14:paraId="47A3A9B4" w14:textId="77777777" w:rsidR="00362AAD"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7ACFCC23" w14:textId="77777777" w:rsidR="002B35BA" w:rsidRPr="006916FC" w:rsidRDefault="002B35BA" w:rsidP="008A7E29">
      <w:pPr>
        <w:jc w:val="both"/>
        <w:rPr>
          <w:rFonts w:ascii="Didot" w:hAnsi="Didot" w:cs="Didot"/>
          <w:color w:val="121212"/>
          <w:sz w:val="22"/>
          <w:szCs w:val="22"/>
          <w:lang w:val="en-US"/>
        </w:rPr>
      </w:pPr>
    </w:p>
    <w:p w14:paraId="6CB22D4A" w14:textId="77777777" w:rsidR="000D6A2E" w:rsidRPr="008B4D4B" w:rsidRDefault="000D6A2E" w:rsidP="008A7E29">
      <w:pPr>
        <w:jc w:val="both"/>
        <w:rPr>
          <w:rFonts w:ascii="Didot" w:hAnsi="Didot" w:cs="Didot"/>
          <w:color w:val="121212"/>
          <w:sz w:val="22"/>
          <w:szCs w:val="22"/>
          <w:lang w:val="en-US"/>
        </w:rPr>
      </w:pPr>
      <w:r w:rsidRPr="008B4D4B">
        <w:rPr>
          <w:rFonts w:ascii="Didot" w:hAnsi="Didot" w:cs="Didot"/>
          <w:color w:val="121212"/>
          <w:sz w:val="22"/>
          <w:szCs w:val="22"/>
          <w:lang w:val="en-US"/>
        </w:rPr>
        <w:t>Karen Hughes is a Professor in Behavioural Epidemiology at the Centre for Public Health, Liverpool John Moores University; a World Health Organization Collaborating Centre for Violence Prevention. She runs an extensive research programme undertaking epidemiological studies, systematic literature reviews and evaluation studies examining issues around violence prevention, alcohol use, nightlife health and other youth risk behaviours. She oversees the development of the Violence Prevention Evidence Base and Trials Register at www.preventviolence.info, which collate information on published studies and ongoing trials of violence prevention outcome evaluations. She has also co-authored a series of policy briefings, evidence reviews and focused reports on violence prevention with the World Health Organization, including the Prevent Violence: The Evidence series. Within the UK, Karen works with the Department of Health, the Home Office and a range of other national and local partners to support violence prevention activity. She has published a wide range of peer-reviewed journal articles and has acted as an expert advisor to bodies including the World Health Organization, the European Monitoring Centre for Drugs and Drug Addiction and the National Institute for Health Research.</w:t>
      </w:r>
    </w:p>
    <w:p w14:paraId="0A8053FE" w14:textId="77777777" w:rsidR="004F6BB2" w:rsidRPr="008B4D4B" w:rsidRDefault="004F6BB2" w:rsidP="008A7E29">
      <w:pPr>
        <w:jc w:val="both"/>
        <w:rPr>
          <w:rFonts w:ascii="Didot" w:hAnsi="Didot" w:cs="Didot"/>
          <w:b/>
          <w:color w:val="121212"/>
          <w:sz w:val="22"/>
          <w:szCs w:val="22"/>
          <w:lang w:val="en-US"/>
        </w:rPr>
      </w:pPr>
    </w:p>
    <w:p w14:paraId="7822DE28" w14:textId="77777777" w:rsidR="000D6A2E" w:rsidRPr="006916FC" w:rsidRDefault="000D6A2E" w:rsidP="008A7E29">
      <w:pPr>
        <w:pBdr>
          <w:bottom w:val="single" w:sz="6" w:space="1" w:color="auto"/>
        </w:pBdr>
        <w:jc w:val="both"/>
        <w:rPr>
          <w:rFonts w:ascii="Didot" w:hAnsi="Didot" w:cs="Didot"/>
          <w:color w:val="121212"/>
          <w:lang w:val="en-US"/>
        </w:rPr>
      </w:pPr>
    </w:p>
    <w:p w14:paraId="6CB1AF25" w14:textId="77777777" w:rsidR="001A057F" w:rsidRPr="006916FC" w:rsidRDefault="001A057F" w:rsidP="008A7E29">
      <w:pPr>
        <w:jc w:val="both"/>
        <w:rPr>
          <w:rFonts w:ascii="Didot" w:hAnsi="Didot" w:cs="Didot"/>
          <w:b/>
          <w:color w:val="121212"/>
          <w:lang w:val="en-US"/>
        </w:rPr>
      </w:pPr>
    </w:p>
    <w:p w14:paraId="51F96942" w14:textId="360CB855" w:rsidR="003D6AB9" w:rsidRPr="006916FC" w:rsidRDefault="000D6A2E" w:rsidP="008A7E29">
      <w:pPr>
        <w:jc w:val="both"/>
        <w:rPr>
          <w:rFonts w:ascii="Didot" w:hAnsi="Didot" w:cs="Didot"/>
          <w:b/>
          <w:color w:val="121212"/>
          <w:lang w:val="en-US"/>
        </w:rPr>
      </w:pPr>
      <w:r w:rsidRPr="006916FC">
        <w:rPr>
          <w:rFonts w:ascii="Didot" w:hAnsi="Didot" w:cs="Didot"/>
          <w:b/>
          <w:color w:val="121212"/>
          <w:lang w:val="en-US"/>
        </w:rPr>
        <w:t>Abstract</w:t>
      </w:r>
    </w:p>
    <w:p w14:paraId="10D75035" w14:textId="77777777" w:rsidR="002B35BA" w:rsidRPr="006916FC" w:rsidRDefault="002B35BA" w:rsidP="008A7E29">
      <w:pPr>
        <w:jc w:val="both"/>
        <w:rPr>
          <w:rFonts w:ascii="Didot" w:hAnsi="Didot" w:cs="Didot"/>
          <w:i/>
          <w:color w:val="121212"/>
          <w:lang w:val="en-US"/>
        </w:rPr>
      </w:pPr>
    </w:p>
    <w:p w14:paraId="4872EF1A" w14:textId="77777777" w:rsidR="000D6A2E" w:rsidRPr="006916FC" w:rsidRDefault="000D6A2E"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Is the Violence Prevention Evidence Base Fit to Inform a Global Violence Reduction Strategy?</w:t>
      </w:r>
    </w:p>
    <w:p w14:paraId="7C4B932E" w14:textId="77777777" w:rsidR="000D6A2E" w:rsidRPr="008B4D4B" w:rsidRDefault="000D6A2E"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Global strategies to address violence have increasingly recognised the importance of applying a science-based approach to prevention. The need for evidence has been identified as particularly substantive in low- and middle-income countries (LMICs) where over 85% of violent deaths occur.  These countries are also predicted to account for the vast majority of global population growth over the next 30 years. Thus, understanding what works to prevent violence in less developed societies and how transferrable evidence-based interventions developed in high income countries are to LMICs is fundamental in developing a global violence reduction strategy. Drawing on the rolling systematic reviews conducted to populate the prevent violence evidence base (www.preventviolence.info), a collaborative project between Liverpool John Moores University, the World Health Organization and the Centers for Disease Control and Prevention, this presentation will </w:t>
      </w:r>
      <w:r w:rsidRPr="008B4D4B">
        <w:rPr>
          <w:rFonts w:ascii="Didot" w:hAnsi="Didot" w:cs="Didot"/>
          <w:color w:val="121212"/>
          <w:sz w:val="22"/>
          <w:szCs w:val="22"/>
          <w:lang w:val="en-US"/>
        </w:rPr>
        <w:lastRenderedPageBreak/>
        <w:t>examine the state of the global violence prevention evidence base, identifying gaps in its geographical distribution and the types of violence addressed. The evidence base contains almost 400 journal articles reporting findings from violence prevention outcome evaluation studies published between January 2007 and June 2014. The presentation will consider how it can contribute to the development of a global violence reduction strategy and how it could be strengthened to support substantial reductions in violence over the next 30 years.</w:t>
      </w:r>
    </w:p>
    <w:p w14:paraId="7A5A4AA3" w14:textId="77777777" w:rsidR="004F6BB2" w:rsidRPr="006916FC" w:rsidRDefault="004F6BB2"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74EE4406" w14:textId="77777777" w:rsidR="008438EF" w:rsidRPr="006916FC" w:rsidRDefault="008438EF" w:rsidP="008A7E29">
      <w:pPr>
        <w:widowControl w:val="0"/>
        <w:autoSpaceDE w:val="0"/>
        <w:autoSpaceDN w:val="0"/>
        <w:adjustRightInd w:val="0"/>
        <w:spacing w:after="240"/>
        <w:jc w:val="both"/>
        <w:rPr>
          <w:rFonts w:ascii="Didot" w:hAnsi="Didot" w:cs="Didot"/>
          <w:color w:val="121212"/>
          <w:sz w:val="22"/>
          <w:szCs w:val="22"/>
          <w:lang w:val="en-US"/>
        </w:rPr>
      </w:pPr>
    </w:p>
    <w:p w14:paraId="73B4A146" w14:textId="77777777" w:rsidR="00910A26" w:rsidRPr="006916FC" w:rsidRDefault="00910A26" w:rsidP="008A7E29">
      <w:pPr>
        <w:widowControl w:val="0"/>
        <w:autoSpaceDE w:val="0"/>
        <w:autoSpaceDN w:val="0"/>
        <w:adjustRightInd w:val="0"/>
        <w:spacing w:after="240"/>
        <w:jc w:val="both"/>
        <w:rPr>
          <w:rFonts w:ascii="Didot" w:hAnsi="Didot" w:cs="Didot"/>
          <w:b/>
          <w:color w:val="121212"/>
          <w:sz w:val="34"/>
          <w:szCs w:val="34"/>
          <w:lang w:val="en-US"/>
        </w:rPr>
      </w:pPr>
    </w:p>
    <w:p w14:paraId="739BE773" w14:textId="77777777" w:rsidR="00910A26" w:rsidRPr="006916FC" w:rsidRDefault="00910A26" w:rsidP="008A7E29">
      <w:pPr>
        <w:widowControl w:val="0"/>
        <w:autoSpaceDE w:val="0"/>
        <w:autoSpaceDN w:val="0"/>
        <w:adjustRightInd w:val="0"/>
        <w:spacing w:after="240"/>
        <w:jc w:val="both"/>
        <w:rPr>
          <w:rFonts w:ascii="Didot" w:hAnsi="Didot" w:cs="Didot"/>
          <w:b/>
          <w:color w:val="121212"/>
          <w:sz w:val="34"/>
          <w:szCs w:val="34"/>
          <w:lang w:val="en-US"/>
        </w:rPr>
      </w:pPr>
    </w:p>
    <w:p w14:paraId="3F0B0BB5" w14:textId="77777777" w:rsidR="00910A26" w:rsidRPr="006916FC" w:rsidRDefault="00910A26" w:rsidP="008A7E29">
      <w:pPr>
        <w:widowControl w:val="0"/>
        <w:autoSpaceDE w:val="0"/>
        <w:autoSpaceDN w:val="0"/>
        <w:adjustRightInd w:val="0"/>
        <w:spacing w:after="240"/>
        <w:jc w:val="both"/>
        <w:rPr>
          <w:rFonts w:ascii="Didot" w:hAnsi="Didot" w:cs="Didot"/>
          <w:b/>
          <w:color w:val="121212"/>
          <w:sz w:val="34"/>
          <w:szCs w:val="34"/>
          <w:lang w:val="en-US"/>
        </w:rPr>
      </w:pPr>
    </w:p>
    <w:p w14:paraId="355E30EB" w14:textId="4672936E" w:rsidR="000D6A2E" w:rsidRPr="006916FC" w:rsidRDefault="00EE46BD" w:rsidP="008A7E29">
      <w:pPr>
        <w:pStyle w:val="Heading1"/>
        <w:rPr>
          <w:sz w:val="34"/>
          <w:szCs w:val="34"/>
        </w:rPr>
      </w:pPr>
      <w:r w:rsidRPr="006916FC">
        <w:br w:type="column"/>
      </w:r>
      <w:r w:rsidR="003D6AB9" w:rsidRPr="006916FC">
        <w:lastRenderedPageBreak/>
        <w:br w:type="column"/>
      </w:r>
      <w:bookmarkStart w:id="19" w:name="_Toc272639892"/>
      <w:bookmarkStart w:id="20" w:name="_Toc272645015"/>
      <w:r w:rsidR="00B009D2" w:rsidRPr="006916FC">
        <w:rPr>
          <w:sz w:val="34"/>
          <w:szCs w:val="34"/>
        </w:rPr>
        <w:lastRenderedPageBreak/>
        <w:t>Session 2</w:t>
      </w:r>
      <w:bookmarkEnd w:id="19"/>
      <w:bookmarkEnd w:id="20"/>
    </w:p>
    <w:p w14:paraId="7987706C" w14:textId="77777777" w:rsidR="00B009D2" w:rsidRPr="006916FC" w:rsidRDefault="00B009D2" w:rsidP="008A7E29">
      <w:pPr>
        <w:pStyle w:val="Heading1"/>
      </w:pPr>
      <w:bookmarkStart w:id="21" w:name="_Toc272639893"/>
      <w:bookmarkStart w:id="22" w:name="_Toc272645016"/>
      <w:r w:rsidRPr="006916FC">
        <w:t>Building Violence Prevention Research Capacity</w:t>
      </w:r>
      <w:bookmarkEnd w:id="21"/>
      <w:bookmarkEnd w:id="22"/>
      <w:r w:rsidRPr="006916FC">
        <w:t xml:space="preserve"> </w:t>
      </w:r>
    </w:p>
    <w:p w14:paraId="5BF0E342" w14:textId="77777777" w:rsidR="00B009D2" w:rsidRPr="006916FC" w:rsidRDefault="00B009D2" w:rsidP="008A7E29">
      <w:pPr>
        <w:jc w:val="both"/>
        <w:rPr>
          <w:rFonts w:ascii="Didot" w:hAnsi="Didot" w:cs="Didot"/>
          <w:lang w:val="en-US"/>
        </w:rPr>
      </w:pPr>
    </w:p>
    <w:p w14:paraId="434B36EA" w14:textId="77777777" w:rsidR="000D6A2E" w:rsidRPr="006916FC" w:rsidRDefault="000D6A2E" w:rsidP="008A7E29">
      <w:pPr>
        <w:widowControl w:val="0"/>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Patricia Lannen - UBS Optimus Foundation, Programme Director of Child Protection</w:t>
      </w:r>
    </w:p>
    <w:p w14:paraId="378683FA" w14:textId="77777777" w:rsidR="001A057F" w:rsidRPr="006916FC" w:rsidRDefault="001A057F" w:rsidP="008A7E29">
      <w:pPr>
        <w:widowControl w:val="0"/>
        <w:pBdr>
          <w:top w:val="single" w:sz="6" w:space="1" w:color="auto"/>
          <w:bottom w:val="single" w:sz="6" w:space="1" w:color="auto"/>
        </w:pBdr>
        <w:autoSpaceDE w:val="0"/>
        <w:autoSpaceDN w:val="0"/>
        <w:adjustRightInd w:val="0"/>
        <w:spacing w:after="240"/>
        <w:jc w:val="both"/>
        <w:rPr>
          <w:rFonts w:ascii="Didot" w:hAnsi="Didot" w:cs="Didot"/>
          <w:color w:val="121212"/>
          <w:lang w:val="en-US"/>
        </w:rPr>
      </w:pPr>
    </w:p>
    <w:p w14:paraId="1612F24E" w14:textId="348EBA07" w:rsidR="002B35BA" w:rsidRPr="006916FC" w:rsidRDefault="000D6A2E" w:rsidP="008A7E29">
      <w:pPr>
        <w:widowControl w:val="0"/>
        <w:pBdr>
          <w:top w:val="single" w:sz="6" w:space="1" w:color="auto"/>
          <w:bottom w:val="single" w:sz="6" w:space="1" w:color="auto"/>
        </w:pBdr>
        <w:autoSpaceDE w:val="0"/>
        <w:autoSpaceDN w:val="0"/>
        <w:adjustRightInd w:val="0"/>
        <w:spacing w:after="240"/>
        <w:jc w:val="both"/>
        <w:rPr>
          <w:rFonts w:ascii="Didot" w:hAnsi="Didot" w:cs="Didot"/>
          <w:color w:val="121212"/>
          <w:lang w:val="en-US"/>
        </w:rPr>
      </w:pPr>
      <w:r w:rsidRPr="006916FC">
        <w:rPr>
          <w:rFonts w:ascii="Didot" w:hAnsi="Didot" w:cs="Didot"/>
          <w:color w:val="121212"/>
          <w:lang w:val="en-US"/>
        </w:rPr>
        <w:t>Evidence-based violence reduction requires an adequate in-country research capacity, to generate the necessary evidence and then to apply it effectively. Speakers in this session will examine the extent to which risk factors for violence differ between cultures, how national information systems can be used to address violence more effectively, and what strategies are needed to overcome obstacles to translating evidence-based principles into policy.</w:t>
      </w:r>
    </w:p>
    <w:p w14:paraId="2E656656" w14:textId="77777777" w:rsidR="001A057F" w:rsidRPr="006916FC" w:rsidRDefault="001A057F" w:rsidP="008A7E29">
      <w:pPr>
        <w:widowControl w:val="0"/>
        <w:pBdr>
          <w:top w:val="single" w:sz="6" w:space="1" w:color="auto"/>
          <w:bottom w:val="single" w:sz="6" w:space="1" w:color="auto"/>
        </w:pBdr>
        <w:autoSpaceDE w:val="0"/>
        <w:autoSpaceDN w:val="0"/>
        <w:adjustRightInd w:val="0"/>
        <w:spacing w:after="240"/>
        <w:jc w:val="both"/>
        <w:rPr>
          <w:rFonts w:ascii="Didot" w:hAnsi="Didot" w:cs="Didot"/>
          <w:color w:val="121212"/>
          <w:sz w:val="28"/>
          <w:szCs w:val="28"/>
          <w:lang w:val="en-US"/>
        </w:rPr>
      </w:pPr>
    </w:p>
    <w:p w14:paraId="0313AF70" w14:textId="5B164E36" w:rsidR="000D6A2E" w:rsidRPr="006916FC" w:rsidRDefault="000D6A2E" w:rsidP="008A7E29">
      <w:pPr>
        <w:pStyle w:val="Heading2"/>
        <w:jc w:val="both"/>
        <w:rPr>
          <w:rFonts w:ascii="Didot" w:hAnsi="Didot" w:cs="Didot"/>
          <w:color w:val="auto"/>
          <w:sz w:val="34"/>
          <w:szCs w:val="34"/>
        </w:rPr>
      </w:pPr>
      <w:bookmarkStart w:id="23" w:name="_Toc272639894"/>
      <w:bookmarkStart w:id="24" w:name="_Toc272645017"/>
      <w:r w:rsidRPr="006916FC">
        <w:rPr>
          <w:rFonts w:ascii="Didot" w:hAnsi="Didot" w:cs="Didot"/>
          <w:color w:val="auto"/>
          <w:sz w:val="34"/>
          <w:szCs w:val="34"/>
        </w:rPr>
        <w:t>Joseph Murray</w:t>
      </w:r>
      <w:bookmarkEnd w:id="23"/>
      <w:bookmarkEnd w:id="24"/>
      <w:r w:rsidRPr="006916FC">
        <w:rPr>
          <w:rFonts w:ascii="Didot" w:hAnsi="Didot" w:cs="Didot"/>
          <w:color w:val="auto"/>
          <w:sz w:val="34"/>
          <w:szCs w:val="34"/>
        </w:rPr>
        <w:t xml:space="preserve"> </w:t>
      </w:r>
    </w:p>
    <w:p w14:paraId="434C2438" w14:textId="77777777" w:rsidR="00A52B35" w:rsidRPr="006916FC" w:rsidRDefault="00A52B35" w:rsidP="008A7E29">
      <w:pPr>
        <w:widowControl w:val="0"/>
        <w:autoSpaceDE w:val="0"/>
        <w:autoSpaceDN w:val="0"/>
        <w:adjustRightInd w:val="0"/>
        <w:spacing w:after="240"/>
        <w:jc w:val="both"/>
        <w:rPr>
          <w:rFonts w:ascii="Didot" w:hAnsi="Didot" w:cs="Didot"/>
          <w:b/>
          <w:color w:val="121212"/>
          <w:lang w:val="en-US"/>
        </w:rPr>
      </w:pPr>
    </w:p>
    <w:p w14:paraId="253E0606" w14:textId="77777777" w:rsidR="00362AAD" w:rsidRPr="006916FC" w:rsidRDefault="000D6A2E"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Biography</w:t>
      </w:r>
    </w:p>
    <w:p w14:paraId="5779DFB5"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Dr Joseph Murray is a Wellcome Trust Research Fellow and Senior Research Associate at the Department of Psychiatry, University of Cambridge, with affiliate positions at the Institute of Criminology, University of Cambridge, and the Postgraduate Programme in Health Sciences, Federal University of Uberlândia, </w:t>
      </w:r>
      <w:proofErr w:type="gramStart"/>
      <w:r w:rsidRPr="008B4D4B">
        <w:rPr>
          <w:rFonts w:ascii="Didot" w:hAnsi="Didot" w:cs="Didot"/>
          <w:color w:val="121212"/>
          <w:sz w:val="22"/>
          <w:szCs w:val="22"/>
          <w:lang w:val="en-US"/>
        </w:rPr>
        <w:t>Brazil</w:t>
      </w:r>
      <w:proofErr w:type="gramEnd"/>
      <w:r w:rsidRPr="008B4D4B">
        <w:rPr>
          <w:rFonts w:ascii="Didot" w:hAnsi="Didot" w:cs="Didot"/>
          <w:color w:val="121212"/>
          <w:sz w:val="22"/>
          <w:szCs w:val="22"/>
          <w:lang w:val="en-US"/>
        </w:rPr>
        <w:t xml:space="preserve">. He graduated from the University of Oxford with a B.A. in Philosophy, Politics and Economics, and completed an M.Phil and Ph.D. at the Institute of Criminology, University of Cambridge, where he worked as a Research Associate and then Senior Research Associate until 2010. His work centres on the development of conduct problems, crime and violence through the life course in cross-national perspective. He has investigated the childhood origins of antisocial behaviour in several large, longitudinal studies in Britain, Sweden, Switzerland, Holland, the United States, and Brazil. His current research focuses on biological, psychological and social influences on antisocial behaviour in two birth cohort studies in Brazil (the 1982 and 1993 Pelotas Birth Cohort Studies) and one in Britain (ALSPAC), funded by a Wellcome Trust Research Fellowship (2010-2015). Previous awards include a British Academy Postdoctoral Fellowship (2006-09), the Nigel Walker Prize (Cambridge University, 2007), and the Distinguished Young Scholar Award (American Society of </w:t>
      </w:r>
      <w:r w:rsidRPr="008B4D4B">
        <w:rPr>
          <w:rFonts w:ascii="Didot" w:hAnsi="Didot" w:cs="Didot"/>
          <w:color w:val="121212"/>
          <w:sz w:val="22"/>
          <w:szCs w:val="22"/>
          <w:lang w:val="en-US"/>
        </w:rPr>
        <w:lastRenderedPageBreak/>
        <w:t>Criminology, Division of Corrections and Sentencing, 2008).</w:t>
      </w:r>
    </w:p>
    <w:p w14:paraId="79881730" w14:textId="77777777" w:rsidR="001A057F" w:rsidRPr="006916FC" w:rsidRDefault="001A057F"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74EE96FA" w14:textId="77777777" w:rsidR="00487EBC" w:rsidRPr="006916FC" w:rsidRDefault="000D6A2E"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Abstract</w:t>
      </w:r>
    </w:p>
    <w:p w14:paraId="0022EF7B" w14:textId="77777777" w:rsidR="000D6A2E" w:rsidRPr="006916FC" w:rsidRDefault="000D6A2E" w:rsidP="008A7E29">
      <w:pPr>
        <w:widowControl w:val="0"/>
        <w:autoSpaceDE w:val="0"/>
        <w:autoSpaceDN w:val="0"/>
        <w:adjustRightInd w:val="0"/>
        <w:spacing w:after="240"/>
        <w:jc w:val="both"/>
        <w:rPr>
          <w:rFonts w:ascii="Didot" w:hAnsi="Didot" w:cs="Didot"/>
          <w:b/>
          <w:color w:val="121212"/>
          <w:lang w:val="en-US"/>
        </w:rPr>
      </w:pPr>
      <w:proofErr w:type="gramStart"/>
      <w:r w:rsidRPr="006916FC">
        <w:rPr>
          <w:rFonts w:ascii="Didot" w:hAnsi="Didot" w:cs="Didot"/>
          <w:b/>
          <w:color w:val="121212"/>
          <w:lang w:val="en-US"/>
        </w:rPr>
        <w:t>Universal Risk Factors for Violence?</w:t>
      </w:r>
      <w:proofErr w:type="gramEnd"/>
      <w:r w:rsidRPr="006916FC">
        <w:rPr>
          <w:rFonts w:ascii="Didot" w:hAnsi="Didot" w:cs="Didot"/>
          <w:b/>
          <w:color w:val="121212"/>
          <w:lang w:val="en-US"/>
        </w:rPr>
        <w:t xml:space="preserve"> Evidence from Low- and Middle-Income Countries</w:t>
      </w:r>
    </w:p>
    <w:p w14:paraId="574A027F" w14:textId="77777777" w:rsidR="000D6A2E" w:rsidRPr="008B4D4B" w:rsidRDefault="000D6A2E"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We know least about the causes of violence where it matters most. The highest rates of serious violence are found in Latin America and Sub-Saharan Africa, but nearly </w:t>
      </w:r>
      <w:proofErr w:type="gramStart"/>
      <w:r w:rsidRPr="008B4D4B">
        <w:rPr>
          <w:rFonts w:ascii="Didot" w:hAnsi="Didot" w:cs="Didot"/>
          <w:color w:val="121212"/>
          <w:sz w:val="22"/>
          <w:szCs w:val="22"/>
          <w:lang w:val="en-US"/>
        </w:rPr>
        <w:t>all major</w:t>
      </w:r>
      <w:proofErr w:type="gramEnd"/>
      <w:r w:rsidRPr="008B4D4B">
        <w:rPr>
          <w:rFonts w:ascii="Didot" w:hAnsi="Didot" w:cs="Didot"/>
          <w:color w:val="121212"/>
          <w:sz w:val="22"/>
          <w:szCs w:val="22"/>
          <w:lang w:val="en-US"/>
        </w:rPr>
        <w:t xml:space="preserve"> studies of the developmental origins of violence have taken place in a small number of high-income countries in Europe, North America, and Australasia. To reduce global violence by 50% in the next 30 years, major investment will be needed to identify causes of violence where rates are highest. Two large-scale birth cohort studies in the city of Pelotas, Brazil provide a unique opportunity to investigate the development of violence, and identify risk and protective factors in a middle-income context with a high rate of violence. Over 5,000 children in each study have been followed since their births in 1982 and 1993. Official crime records have been collected for both cohorts and their parents. Self-reported crime data was collected at age 18 in the 1993 cohort that can be directly compared with a well-matched British study (ALSPAC), including some 14,000 children born in the early 1990's in the Bristol city area. We have compared associations between health and socio-demographic risk factors in the perinatal period and violence at age 18 years between the 1993 Pelotas birth cohort and ALSPAC. Many of the same risk factors were important in both contexts; for example conduct problems were predicted in both Brazil and Britain by the following: unplanned pregnancy, maternal smoking in pregnancy, teenage mother, low maternal education, single mother, and low family income. However, several risk factor associations were significantly weaker in Brazil than in Britain and, strikingly, almost no risk factors were predictive of male youth violence in Brazil. Developmental origins of violence may vary across social context. Violence research must become truly global to produce an evidence base for effective action in every region.</w:t>
      </w:r>
    </w:p>
    <w:p w14:paraId="4D4EA08C" w14:textId="77777777" w:rsidR="00487EBC" w:rsidRPr="006916FC" w:rsidRDefault="00487EBC"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1C29B8AA" w14:textId="77777777" w:rsidR="001A057F" w:rsidRPr="006916FC" w:rsidRDefault="001A057F" w:rsidP="008A7E29">
      <w:pPr>
        <w:jc w:val="both"/>
        <w:rPr>
          <w:rFonts w:ascii="Didot" w:hAnsi="Didot" w:cs="Didot"/>
          <w:color w:val="121212"/>
          <w:sz w:val="22"/>
          <w:szCs w:val="22"/>
          <w:lang w:val="en-US"/>
        </w:rPr>
      </w:pPr>
    </w:p>
    <w:p w14:paraId="079E1EDD" w14:textId="77777777" w:rsidR="004F6BB2" w:rsidRPr="006916FC" w:rsidRDefault="004F6BB2" w:rsidP="008A7E29">
      <w:pPr>
        <w:jc w:val="both"/>
        <w:rPr>
          <w:rFonts w:ascii="Didot" w:hAnsi="Didot" w:cs="Didot"/>
          <w:b/>
          <w:color w:val="121212"/>
          <w:lang w:val="en-US"/>
        </w:rPr>
      </w:pPr>
      <w:r w:rsidRPr="006916FC">
        <w:rPr>
          <w:rFonts w:ascii="Didot" w:hAnsi="Didot" w:cs="Didot"/>
          <w:b/>
          <w:color w:val="121212"/>
          <w:lang w:val="en-US"/>
        </w:rPr>
        <w:t xml:space="preserve">Summary </w:t>
      </w:r>
    </w:p>
    <w:p w14:paraId="4187886E" w14:textId="77777777" w:rsidR="003D6AB9" w:rsidRPr="006916FC" w:rsidRDefault="003D6AB9" w:rsidP="008A7E29">
      <w:pPr>
        <w:jc w:val="both"/>
        <w:rPr>
          <w:rFonts w:ascii="Didot" w:hAnsi="Didot" w:cs="Didot"/>
          <w:b/>
          <w:color w:val="121212"/>
          <w:lang w:val="en-US"/>
        </w:rPr>
      </w:pPr>
    </w:p>
    <w:p w14:paraId="4962FD3B" w14:textId="77777777" w:rsidR="003D6AB9" w:rsidRPr="006916FC" w:rsidRDefault="003D6AB9" w:rsidP="008A7E29">
      <w:pPr>
        <w:widowControl w:val="0"/>
        <w:autoSpaceDE w:val="0"/>
        <w:autoSpaceDN w:val="0"/>
        <w:adjustRightInd w:val="0"/>
        <w:spacing w:after="240"/>
        <w:jc w:val="both"/>
        <w:rPr>
          <w:rFonts w:ascii="Didot" w:hAnsi="Didot" w:cs="Didot"/>
          <w:b/>
          <w:color w:val="121212"/>
          <w:lang w:val="en-US"/>
        </w:rPr>
      </w:pPr>
      <w:proofErr w:type="gramStart"/>
      <w:r w:rsidRPr="006916FC">
        <w:rPr>
          <w:rFonts w:ascii="Didot" w:hAnsi="Didot" w:cs="Didot"/>
          <w:b/>
          <w:color w:val="121212"/>
          <w:lang w:val="en-US"/>
        </w:rPr>
        <w:t>Universal Risk Factors for Violence?</w:t>
      </w:r>
      <w:proofErr w:type="gramEnd"/>
      <w:r w:rsidRPr="006916FC">
        <w:rPr>
          <w:rFonts w:ascii="Didot" w:hAnsi="Didot" w:cs="Didot"/>
          <w:b/>
          <w:color w:val="121212"/>
          <w:lang w:val="en-US"/>
        </w:rPr>
        <w:t xml:space="preserve"> Evidence from Low- and Middle-Income Countries</w:t>
      </w:r>
    </w:p>
    <w:p w14:paraId="0789B7F6" w14:textId="77777777" w:rsidR="003D6AB9" w:rsidRPr="006916FC" w:rsidRDefault="003D6AB9" w:rsidP="008A7E29">
      <w:pPr>
        <w:jc w:val="both"/>
        <w:rPr>
          <w:rFonts w:ascii="Didot" w:hAnsi="Didot" w:cs="Didot"/>
          <w:b/>
          <w:color w:val="121212"/>
          <w:lang w:val="en-US"/>
        </w:rPr>
      </w:pPr>
    </w:p>
    <w:p w14:paraId="60996B97" w14:textId="77777777" w:rsidR="00160E26" w:rsidRPr="006916FC" w:rsidRDefault="00160E26" w:rsidP="008A7E29">
      <w:pPr>
        <w:jc w:val="both"/>
        <w:rPr>
          <w:rFonts w:ascii="Didot" w:hAnsi="Didot" w:cs="Didot"/>
          <w:sz w:val="22"/>
          <w:szCs w:val="22"/>
        </w:rPr>
        <w:sectPr w:rsidR="00160E26" w:rsidRPr="006916FC" w:rsidSect="003D6AB9">
          <w:type w:val="continuous"/>
          <w:pgSz w:w="12240" w:h="15840" w:code="1"/>
          <w:pgMar w:top="1380" w:right="1680" w:bottom="280" w:left="1520" w:header="720" w:footer="720" w:gutter="0"/>
          <w:cols w:space="720"/>
          <w:docGrid w:linePitch="299"/>
        </w:sectPr>
      </w:pPr>
    </w:p>
    <w:p w14:paraId="78C15B1D" w14:textId="77777777" w:rsidR="00910A26" w:rsidRPr="008B4D4B" w:rsidRDefault="00910A26" w:rsidP="008A7E29">
      <w:pPr>
        <w:jc w:val="both"/>
        <w:rPr>
          <w:rFonts w:ascii="Didot" w:hAnsi="Didot" w:cs="Didot"/>
          <w:sz w:val="22"/>
          <w:szCs w:val="22"/>
          <w:lang w:val="en-GB"/>
        </w:rPr>
      </w:pPr>
      <w:r w:rsidRPr="008B4D4B">
        <w:rPr>
          <w:rFonts w:ascii="Didot" w:hAnsi="Didot" w:cs="Didot"/>
          <w:sz w:val="22"/>
          <w:szCs w:val="22"/>
        </w:rPr>
        <w:lastRenderedPageBreak/>
        <w:t xml:space="preserve">In 2010, 456 thousand people died from interpersonal violence worldwide; </w:t>
      </w:r>
      <w:proofErr w:type="gramStart"/>
      <w:r w:rsidRPr="008B4D4B">
        <w:rPr>
          <w:rFonts w:ascii="Didot" w:hAnsi="Didot" w:cs="Didot"/>
          <w:sz w:val="22"/>
          <w:szCs w:val="22"/>
        </w:rPr>
        <w:t>86%</w:t>
      </w:r>
      <w:proofErr w:type="gramEnd"/>
      <w:r w:rsidRPr="008B4D4B">
        <w:rPr>
          <w:rFonts w:ascii="Didot" w:hAnsi="Didot" w:cs="Didot"/>
          <w:sz w:val="22"/>
          <w:szCs w:val="22"/>
        </w:rPr>
        <w:t xml:space="preserve"> of these deaths occurred in low and middle-income countries.</w:t>
      </w:r>
      <w:r w:rsidRPr="008B4D4B">
        <w:rPr>
          <w:rFonts w:ascii="Didot" w:hAnsi="Didot" w:cs="Didot"/>
          <w:noProof/>
          <w:sz w:val="22"/>
          <w:szCs w:val="22"/>
          <w:vertAlign w:val="superscript"/>
        </w:rPr>
        <w:t>1</w:t>
      </w:r>
      <w:r w:rsidRPr="008B4D4B">
        <w:rPr>
          <w:rFonts w:ascii="Didot" w:hAnsi="Didot" w:cs="Didot"/>
          <w:sz w:val="22"/>
          <w:szCs w:val="22"/>
        </w:rPr>
        <w:t xml:space="preserve"> Leading criminologists have argued for more globalised research on crime and violence.</w:t>
      </w:r>
      <w:r w:rsidRPr="008B4D4B">
        <w:rPr>
          <w:rFonts w:ascii="Didot" w:hAnsi="Didot" w:cs="Didot"/>
          <w:noProof/>
          <w:sz w:val="22"/>
          <w:szCs w:val="22"/>
          <w:vertAlign w:val="superscript"/>
        </w:rPr>
        <w:t>2,3</w:t>
      </w:r>
      <w:r w:rsidRPr="008B4D4B">
        <w:rPr>
          <w:rFonts w:ascii="Didot" w:hAnsi="Didot" w:cs="Didot"/>
          <w:sz w:val="22"/>
          <w:szCs w:val="22"/>
        </w:rPr>
        <w:t xml:space="preserve"> However, major research programmes continue to focus almost exclusively on high-income countries. </w:t>
      </w:r>
      <w:r w:rsidRPr="008B4D4B">
        <w:rPr>
          <w:rFonts w:ascii="Didot" w:hAnsi="Didot" w:cs="Didot"/>
          <w:sz w:val="22"/>
          <w:szCs w:val="22"/>
          <w:lang w:val="en-GB"/>
        </w:rPr>
        <w:t>Several dozen large-scale longitudinal studies in North America, Europe, Australia, and New Zealand have documented the developmental course of aggression and other antisoc</w:t>
      </w:r>
      <w:r w:rsidRPr="008B4D4B">
        <w:rPr>
          <w:rFonts w:ascii="Didot" w:hAnsi="Didot" w:cs="Didot"/>
          <w:sz w:val="22"/>
          <w:szCs w:val="22"/>
        </w:rPr>
        <w:t xml:space="preserve">ial behaviours </w:t>
      </w:r>
      <w:r w:rsidRPr="008B4D4B">
        <w:rPr>
          <w:rFonts w:ascii="Didot" w:hAnsi="Didot" w:cs="Didot"/>
          <w:sz w:val="22"/>
          <w:szCs w:val="22"/>
        </w:rPr>
        <w:lastRenderedPageBreak/>
        <w:t>through the</w:t>
      </w:r>
      <w:r w:rsidRPr="008B4D4B">
        <w:rPr>
          <w:rFonts w:ascii="Didot" w:hAnsi="Didot" w:cs="Didot"/>
          <w:sz w:val="22"/>
          <w:szCs w:val="22"/>
          <w:lang w:val="en-GB"/>
        </w:rPr>
        <w:t xml:space="preserve"> life-course, and highlighted opportunities for prevention and intervention at different developmental stages. Risk factors have been replicated and meta-analysed across these studies, showing the importance of a wide range of influences at the individual, family, peer, school and community levels.</w:t>
      </w:r>
      <w:r w:rsidRPr="008B4D4B">
        <w:rPr>
          <w:rFonts w:ascii="Didot" w:hAnsi="Didot" w:cs="Didot"/>
          <w:noProof/>
          <w:sz w:val="22"/>
          <w:szCs w:val="22"/>
          <w:vertAlign w:val="superscript"/>
          <w:lang w:val="en-GB"/>
        </w:rPr>
        <w:t>4,5</w:t>
      </w:r>
      <w:r w:rsidRPr="008B4D4B">
        <w:rPr>
          <w:rFonts w:ascii="Didot" w:hAnsi="Didot" w:cs="Didot"/>
          <w:sz w:val="22"/>
          <w:szCs w:val="22"/>
          <w:lang w:val="en-GB"/>
        </w:rPr>
        <w:t xml:space="preserve"> Protective factors are beginning to be identified reflecting processes of resilience for individuals exposed to high risk environments.</w:t>
      </w:r>
      <w:r w:rsidRPr="008B4D4B">
        <w:rPr>
          <w:rFonts w:ascii="Didot" w:hAnsi="Didot" w:cs="Didot"/>
          <w:noProof/>
          <w:sz w:val="22"/>
          <w:szCs w:val="22"/>
          <w:vertAlign w:val="superscript"/>
          <w:lang w:val="en-GB"/>
        </w:rPr>
        <w:t>6</w:t>
      </w:r>
      <w:r w:rsidRPr="008B4D4B">
        <w:rPr>
          <w:rFonts w:ascii="Didot" w:hAnsi="Didot" w:cs="Didot"/>
          <w:sz w:val="22"/>
          <w:szCs w:val="22"/>
          <w:lang w:val="en-GB"/>
        </w:rPr>
        <w:t xml:space="preserve"> However, this knowledge base, as summarized in major reviews, is not global.</w:t>
      </w:r>
    </w:p>
    <w:p w14:paraId="2CD170E1" w14:textId="77777777" w:rsidR="00910A26" w:rsidRPr="008B4D4B" w:rsidRDefault="00910A26" w:rsidP="008A7E29">
      <w:pPr>
        <w:jc w:val="both"/>
        <w:rPr>
          <w:rFonts w:ascii="Didot" w:hAnsi="Didot" w:cs="Didot"/>
          <w:sz w:val="22"/>
          <w:szCs w:val="22"/>
          <w:lang w:val="en-GB"/>
        </w:rPr>
      </w:pPr>
    </w:p>
    <w:p w14:paraId="79E43FA0" w14:textId="77777777" w:rsidR="00910A26" w:rsidRPr="008B4D4B" w:rsidRDefault="00910A26" w:rsidP="008A7E29">
      <w:pPr>
        <w:jc w:val="both"/>
        <w:rPr>
          <w:rFonts w:ascii="Didot" w:hAnsi="Didot" w:cs="Didot"/>
          <w:sz w:val="22"/>
          <w:szCs w:val="22"/>
          <w:lang w:val="en-GB"/>
        </w:rPr>
      </w:pPr>
      <w:r w:rsidRPr="008B4D4B">
        <w:rPr>
          <w:rFonts w:ascii="Didot" w:hAnsi="Didot" w:cs="Didot"/>
          <w:sz w:val="22"/>
          <w:szCs w:val="22"/>
          <w:lang w:val="en-GB"/>
        </w:rPr>
        <w:t>The highest rates of the most serious forms of violence (homicide) are found in Latin America and Sub-Saharan Africa (Figure 1). Notably, although the United States is considered a country with a high level of violence, its homicide rate (6.5 per 100,000 people, per year) is far lower than many Latin American and African countries (average for Central Latin America = 31.4; average for Tropical Latin America = 30.6, average for Sub-Saharan Africa = 34.0;)</w:t>
      </w:r>
      <w:proofErr w:type="gramStart"/>
      <w:r w:rsidRPr="008B4D4B">
        <w:rPr>
          <w:rFonts w:ascii="Didot" w:hAnsi="Didot" w:cs="Didot"/>
          <w:sz w:val="22"/>
          <w:szCs w:val="22"/>
          <w:lang w:val="en-GB"/>
        </w:rPr>
        <w:t>.</w:t>
      </w:r>
      <w:r w:rsidRPr="008B4D4B">
        <w:rPr>
          <w:rFonts w:ascii="Didot" w:hAnsi="Didot" w:cs="Didot"/>
          <w:noProof/>
          <w:sz w:val="22"/>
          <w:szCs w:val="22"/>
          <w:vertAlign w:val="superscript"/>
          <w:lang w:val="en-GB"/>
        </w:rPr>
        <w:t>1</w:t>
      </w:r>
      <w:proofErr w:type="gramEnd"/>
      <w:r w:rsidRPr="008B4D4B">
        <w:rPr>
          <w:rFonts w:ascii="Didot" w:hAnsi="Didot" w:cs="Didot"/>
          <w:sz w:val="22"/>
          <w:szCs w:val="22"/>
          <w:lang w:val="en-GB"/>
        </w:rPr>
        <w:t xml:space="preserve"> To reduce violence by 50% in the next 30 years, prevention efforts will have to focus on regions with high levels of violence. A major challenge is that basic evidence on the epidemiology, causes and risk factors for violence is less developed in these settings, and the same approaches to prevention may not be effective if the specific causes of violence are not identified.</w:t>
      </w:r>
    </w:p>
    <w:p w14:paraId="4469DFCD" w14:textId="77777777" w:rsidR="00160E26" w:rsidRPr="008B4D4B" w:rsidRDefault="00160E26" w:rsidP="008A7E29">
      <w:pPr>
        <w:widowControl w:val="0"/>
        <w:autoSpaceDE w:val="0"/>
        <w:autoSpaceDN w:val="0"/>
        <w:adjustRightInd w:val="0"/>
        <w:spacing w:after="240"/>
        <w:jc w:val="both"/>
        <w:rPr>
          <w:rFonts w:ascii="Didot" w:hAnsi="Didot" w:cs="Didot"/>
          <w:color w:val="121212"/>
          <w:sz w:val="22"/>
          <w:szCs w:val="22"/>
          <w:lang w:val="en-US"/>
        </w:rPr>
        <w:sectPr w:rsidR="00160E26" w:rsidRPr="008B4D4B" w:rsidSect="00160E26">
          <w:type w:val="continuous"/>
          <w:pgSz w:w="12240" w:h="15840" w:code="1"/>
          <w:pgMar w:top="1380" w:right="1680" w:bottom="280" w:left="1520" w:header="720" w:footer="720" w:gutter="0"/>
          <w:cols w:space="720"/>
          <w:docGrid w:linePitch="299"/>
        </w:sectPr>
      </w:pPr>
    </w:p>
    <w:p w14:paraId="2CBB8CEC" w14:textId="77777777" w:rsidR="00B552DA" w:rsidRPr="008B4D4B" w:rsidRDefault="00B552DA" w:rsidP="008A7E29">
      <w:pPr>
        <w:widowControl w:val="0"/>
        <w:autoSpaceDE w:val="0"/>
        <w:autoSpaceDN w:val="0"/>
        <w:adjustRightInd w:val="0"/>
        <w:spacing w:after="240"/>
        <w:jc w:val="both"/>
        <w:rPr>
          <w:rFonts w:ascii="Didot" w:hAnsi="Didot" w:cs="Didot"/>
          <w:color w:val="121212"/>
          <w:sz w:val="22"/>
          <w:szCs w:val="22"/>
          <w:lang w:val="en-US"/>
        </w:rPr>
      </w:pPr>
    </w:p>
    <w:p w14:paraId="3219FE38" w14:textId="77777777" w:rsidR="00160E26" w:rsidRPr="006916FC" w:rsidRDefault="00910A26" w:rsidP="008A7E29">
      <w:pPr>
        <w:widowControl w:val="0"/>
        <w:autoSpaceDE w:val="0"/>
        <w:autoSpaceDN w:val="0"/>
        <w:adjustRightInd w:val="0"/>
        <w:spacing w:after="240"/>
        <w:jc w:val="both"/>
        <w:rPr>
          <w:rFonts w:ascii="Didot" w:hAnsi="Didot" w:cs="Didot"/>
          <w:color w:val="121212"/>
          <w:lang w:val="en-US"/>
        </w:rPr>
        <w:sectPr w:rsidR="00160E26" w:rsidRPr="006916FC" w:rsidSect="003D6AB9">
          <w:type w:val="continuous"/>
          <w:pgSz w:w="12240" w:h="15840" w:code="1"/>
          <w:pgMar w:top="1380" w:right="1680" w:bottom="280" w:left="1520" w:header="720" w:footer="720" w:gutter="0"/>
          <w:cols w:space="720"/>
          <w:docGrid w:linePitch="299"/>
        </w:sectPr>
      </w:pPr>
      <w:r w:rsidRPr="006916FC">
        <w:rPr>
          <w:rFonts w:ascii="Didot" w:hAnsi="Didot" w:cs="Didot"/>
          <w:noProof/>
          <w:color w:val="121212"/>
          <w:lang w:val="en-US"/>
        </w:rPr>
        <w:drawing>
          <wp:inline distT="0" distB="0" distL="0" distR="0" wp14:anchorId="5EBCC57C" wp14:editId="0AF10F40">
            <wp:extent cx="4735830" cy="3165399"/>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433" cy="3161792"/>
                    </a:xfrm>
                    <a:prstGeom prst="rect">
                      <a:avLst/>
                    </a:prstGeom>
                    <a:noFill/>
                    <a:ln>
                      <a:noFill/>
                    </a:ln>
                  </pic:spPr>
                </pic:pic>
              </a:graphicData>
            </a:graphic>
          </wp:inline>
        </w:drawing>
      </w:r>
    </w:p>
    <w:p w14:paraId="2A3A84EF" w14:textId="77777777" w:rsidR="00910A26" w:rsidRPr="006916FC" w:rsidRDefault="00910A26" w:rsidP="008A7E29">
      <w:pPr>
        <w:jc w:val="both"/>
        <w:rPr>
          <w:rFonts w:ascii="Didot" w:hAnsi="Didot" w:cs="Didot"/>
          <w:i/>
          <w:sz w:val="22"/>
          <w:szCs w:val="22"/>
          <w:lang w:val="en-GB"/>
        </w:rPr>
      </w:pPr>
      <w:r w:rsidRPr="006916FC">
        <w:rPr>
          <w:rFonts w:ascii="Didot" w:hAnsi="Didot" w:cs="Didot"/>
          <w:b/>
          <w:sz w:val="22"/>
          <w:szCs w:val="22"/>
          <w:lang w:val="en-GB"/>
        </w:rPr>
        <w:lastRenderedPageBreak/>
        <w:t>Figure 1.</w:t>
      </w:r>
      <w:r w:rsidRPr="006916FC">
        <w:rPr>
          <w:rFonts w:ascii="Didot" w:hAnsi="Didot" w:cs="Didot"/>
          <w:sz w:val="22"/>
          <w:szCs w:val="22"/>
          <w:lang w:val="en-GB"/>
        </w:rPr>
        <w:t xml:space="preserve"> Worldwide homicide rates in 2010. Source: United Nations Office on Drugs and Crime: </w:t>
      </w:r>
      <w:r w:rsidRPr="006916FC">
        <w:rPr>
          <w:rFonts w:ascii="Didot" w:hAnsi="Didot" w:cs="Didot"/>
          <w:i/>
          <w:sz w:val="22"/>
          <w:szCs w:val="22"/>
          <w:lang w:val="en-GB"/>
        </w:rPr>
        <w:t>Global Study on Homicide, 2011</w:t>
      </w:r>
    </w:p>
    <w:p w14:paraId="220A8F74" w14:textId="77777777" w:rsidR="00160E26" w:rsidRPr="006916FC" w:rsidRDefault="00160E26" w:rsidP="008A7E29">
      <w:pPr>
        <w:jc w:val="both"/>
        <w:rPr>
          <w:rFonts w:ascii="Didot" w:hAnsi="Didot" w:cs="Didot"/>
          <w:i/>
          <w:sz w:val="22"/>
          <w:szCs w:val="22"/>
          <w:lang w:val="en-GB"/>
        </w:rPr>
        <w:sectPr w:rsidR="00160E26" w:rsidRPr="006916FC" w:rsidSect="003D6AB9">
          <w:type w:val="continuous"/>
          <w:pgSz w:w="12240" w:h="15840" w:code="1"/>
          <w:pgMar w:top="1380" w:right="1680" w:bottom="280" w:left="1520" w:header="720" w:footer="720" w:gutter="0"/>
          <w:cols w:space="720"/>
          <w:docGrid w:linePitch="299"/>
        </w:sectPr>
      </w:pPr>
    </w:p>
    <w:p w14:paraId="0A2E2BB0" w14:textId="77777777" w:rsidR="00910A26" w:rsidRPr="006916FC" w:rsidRDefault="00910A26" w:rsidP="008A7E29">
      <w:pPr>
        <w:jc w:val="both"/>
        <w:rPr>
          <w:rFonts w:ascii="Didot" w:hAnsi="Didot" w:cs="Didot"/>
          <w:i/>
          <w:sz w:val="22"/>
          <w:szCs w:val="22"/>
          <w:lang w:val="en-GB"/>
        </w:rPr>
      </w:pPr>
    </w:p>
    <w:p w14:paraId="284EAA8C" w14:textId="77777777" w:rsidR="00910A26" w:rsidRPr="008B4D4B" w:rsidRDefault="00910A26" w:rsidP="008A7E29">
      <w:pPr>
        <w:jc w:val="both"/>
        <w:rPr>
          <w:rFonts w:ascii="Didot" w:hAnsi="Didot" w:cs="Didot"/>
          <w:sz w:val="22"/>
          <w:szCs w:val="22"/>
          <w:lang w:val="en-GB"/>
        </w:rPr>
      </w:pPr>
      <w:r w:rsidRPr="008B4D4B">
        <w:rPr>
          <w:rFonts w:ascii="Didot" w:hAnsi="Didot" w:cs="Didot"/>
          <w:sz w:val="22"/>
          <w:szCs w:val="22"/>
          <w:lang w:val="en-GB"/>
        </w:rPr>
        <w:t xml:space="preserve">Given enormous cultural, social, and economic variation between low- and middle-income countries, it cannot be assumed that findings from a limited number of high-income countries are truly universal. Two examples illustrate the point. First, one of the most widely acknowledged correlates of physical aggression and violence is male gender. Innumerous studies have found that males demonstrate more physical aggression in </w:t>
      </w:r>
      <w:r w:rsidRPr="008B4D4B">
        <w:rPr>
          <w:rFonts w:ascii="Didot" w:hAnsi="Didot" w:cs="Didot"/>
          <w:sz w:val="22"/>
          <w:szCs w:val="22"/>
          <w:lang w:val="en-GB"/>
        </w:rPr>
        <w:lastRenderedPageBreak/>
        <w:t>childhood and more violence during adolescence and adulthood. But is this pattern universal? Our preliminary results based on data from the Global School-Based Student Health Survey, conducted in over 50 low- and middle-income countries, suggest not (Figure 2). We find considerable variation in sex-differences in frequent fighting (4+ fights in the previous year) in early adolescence (ages 12-15). In some countries, girls and boys actually show similar rates of frequent fighting to each other. If this most basic correlate of violence varies so much across low- and middle-income countries, what are the prospects for consistent replication of other risk factors that might be targeted in violence prevention programmes?</w:t>
      </w:r>
    </w:p>
    <w:p w14:paraId="6CF18BC2" w14:textId="77777777" w:rsidR="00910A26" w:rsidRPr="006916FC" w:rsidRDefault="00910A26" w:rsidP="008A7E29">
      <w:pPr>
        <w:widowControl w:val="0"/>
        <w:autoSpaceDE w:val="0"/>
        <w:autoSpaceDN w:val="0"/>
        <w:adjustRightInd w:val="0"/>
        <w:spacing w:after="240"/>
        <w:jc w:val="both"/>
        <w:rPr>
          <w:rFonts w:ascii="Didot" w:hAnsi="Didot" w:cs="Didot"/>
          <w:color w:val="121212"/>
          <w:lang w:val="en-US"/>
        </w:rPr>
      </w:pPr>
    </w:p>
    <w:p w14:paraId="098B7596" w14:textId="77777777" w:rsidR="00160E26" w:rsidRPr="006916FC" w:rsidRDefault="00160E26" w:rsidP="008A7E29">
      <w:pPr>
        <w:widowControl w:val="0"/>
        <w:autoSpaceDE w:val="0"/>
        <w:autoSpaceDN w:val="0"/>
        <w:adjustRightInd w:val="0"/>
        <w:spacing w:after="240"/>
        <w:jc w:val="both"/>
        <w:rPr>
          <w:rFonts w:ascii="Didot" w:hAnsi="Didot" w:cs="Didot"/>
          <w:color w:val="121212"/>
          <w:lang w:val="en-US"/>
        </w:rPr>
        <w:sectPr w:rsidR="00160E26" w:rsidRPr="006916FC" w:rsidSect="00160E26">
          <w:type w:val="continuous"/>
          <w:pgSz w:w="12240" w:h="15840" w:code="1"/>
          <w:pgMar w:top="1380" w:right="1680" w:bottom="280" w:left="1520" w:header="720" w:footer="720" w:gutter="0"/>
          <w:cols w:space="720"/>
          <w:docGrid w:linePitch="299"/>
        </w:sectPr>
      </w:pPr>
    </w:p>
    <w:p w14:paraId="462AA261" w14:textId="77777777" w:rsidR="00910A26" w:rsidRPr="006916FC" w:rsidRDefault="00910A26" w:rsidP="008A7E29">
      <w:pPr>
        <w:widowControl w:val="0"/>
        <w:autoSpaceDE w:val="0"/>
        <w:autoSpaceDN w:val="0"/>
        <w:adjustRightInd w:val="0"/>
        <w:spacing w:after="240"/>
        <w:jc w:val="both"/>
        <w:rPr>
          <w:rFonts w:ascii="Didot" w:hAnsi="Didot" w:cs="Didot"/>
          <w:color w:val="121212"/>
          <w:lang w:val="en-US"/>
        </w:rPr>
      </w:pPr>
      <w:r w:rsidRPr="006916FC">
        <w:rPr>
          <w:rFonts w:ascii="Didot" w:hAnsi="Didot" w:cs="Didot"/>
          <w:noProof/>
          <w:color w:val="121212"/>
          <w:lang w:val="en-US"/>
        </w:rPr>
        <w:lastRenderedPageBreak/>
        <w:drawing>
          <wp:inline distT="0" distB="0" distL="0" distR="0" wp14:anchorId="5CE2BEA0" wp14:editId="01B7D8B2">
            <wp:extent cx="3269615" cy="4031362"/>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3425" cy="4036060"/>
                    </a:xfrm>
                    <a:prstGeom prst="rect">
                      <a:avLst/>
                    </a:prstGeom>
                    <a:noFill/>
                  </pic:spPr>
                </pic:pic>
              </a:graphicData>
            </a:graphic>
          </wp:inline>
        </w:drawing>
      </w:r>
    </w:p>
    <w:p w14:paraId="6CA4477D" w14:textId="77777777" w:rsidR="00910A26" w:rsidRPr="006916FC" w:rsidRDefault="00910A26" w:rsidP="008A7E29">
      <w:pPr>
        <w:widowControl w:val="0"/>
        <w:autoSpaceDE w:val="0"/>
        <w:autoSpaceDN w:val="0"/>
        <w:adjustRightInd w:val="0"/>
        <w:spacing w:after="240"/>
        <w:jc w:val="both"/>
        <w:rPr>
          <w:rFonts w:ascii="Didot" w:hAnsi="Didot" w:cs="Didot"/>
          <w:color w:val="121212"/>
          <w:lang w:val="en-US"/>
        </w:rPr>
      </w:pPr>
    </w:p>
    <w:p w14:paraId="755787F5" w14:textId="77777777" w:rsidR="00160E26" w:rsidRPr="006916FC" w:rsidRDefault="00160E26" w:rsidP="008A7E29">
      <w:pPr>
        <w:widowControl w:val="0"/>
        <w:autoSpaceDE w:val="0"/>
        <w:autoSpaceDN w:val="0"/>
        <w:adjustRightInd w:val="0"/>
        <w:spacing w:after="240"/>
        <w:jc w:val="both"/>
        <w:rPr>
          <w:rFonts w:ascii="Didot" w:hAnsi="Didot" w:cs="Didot"/>
          <w:color w:val="121212"/>
          <w:lang w:val="en-US"/>
        </w:rPr>
        <w:sectPr w:rsidR="00160E26" w:rsidRPr="006916FC" w:rsidSect="003D6AB9">
          <w:type w:val="continuous"/>
          <w:pgSz w:w="12240" w:h="15840" w:code="1"/>
          <w:pgMar w:top="1380" w:right="1680" w:bottom="280" w:left="1520" w:header="720" w:footer="720" w:gutter="0"/>
          <w:cols w:space="720"/>
          <w:docGrid w:linePitch="299"/>
        </w:sectPr>
      </w:pPr>
    </w:p>
    <w:p w14:paraId="3A07C474" w14:textId="77777777" w:rsidR="00DC462C" w:rsidRPr="006916FC" w:rsidRDefault="00910A26" w:rsidP="008A7E29">
      <w:pPr>
        <w:jc w:val="both"/>
        <w:rPr>
          <w:rFonts w:ascii="Didot" w:hAnsi="Didot" w:cs="Didot"/>
          <w:sz w:val="22"/>
          <w:szCs w:val="22"/>
          <w:lang w:val="en-GB"/>
        </w:rPr>
      </w:pPr>
      <w:r w:rsidRPr="006916FC">
        <w:rPr>
          <w:rFonts w:ascii="Didot" w:hAnsi="Didot" w:cs="Didot"/>
          <w:b/>
          <w:sz w:val="22"/>
          <w:szCs w:val="22"/>
          <w:lang w:val="en-GB"/>
        </w:rPr>
        <w:lastRenderedPageBreak/>
        <w:t>Figure 2.</w:t>
      </w:r>
      <w:r w:rsidRPr="006916FC">
        <w:rPr>
          <w:rFonts w:ascii="Didot" w:hAnsi="Didot" w:cs="Didot"/>
          <w:sz w:val="22"/>
          <w:szCs w:val="22"/>
          <w:lang w:val="en-GB"/>
        </w:rPr>
        <w:t xml:space="preserve"> </w:t>
      </w:r>
      <w:proofErr w:type="gramStart"/>
      <w:r w:rsidRPr="006916FC">
        <w:rPr>
          <w:rFonts w:ascii="Didot" w:hAnsi="Didot" w:cs="Didot"/>
          <w:sz w:val="22"/>
          <w:szCs w:val="22"/>
          <w:lang w:val="en-GB"/>
        </w:rPr>
        <w:t>Odds Ratios (95% CI) for the sex-difference in f</w:t>
      </w:r>
      <w:r w:rsidR="00DC462C" w:rsidRPr="006916FC">
        <w:rPr>
          <w:rFonts w:ascii="Didot" w:hAnsi="Didot" w:cs="Didot"/>
          <w:sz w:val="22"/>
          <w:szCs w:val="22"/>
          <w:lang w:val="en-GB"/>
        </w:rPr>
        <w:t xml:space="preserve">requent fighting in 59 low- and </w:t>
      </w:r>
      <w:r w:rsidRPr="006916FC">
        <w:rPr>
          <w:rFonts w:ascii="Didot" w:hAnsi="Didot" w:cs="Didot"/>
          <w:sz w:val="22"/>
          <w:szCs w:val="22"/>
          <w:lang w:val="en-GB"/>
        </w:rPr>
        <w:t>middle-income countries.</w:t>
      </w:r>
      <w:proofErr w:type="gramEnd"/>
      <w:r w:rsidRPr="006916FC">
        <w:rPr>
          <w:rFonts w:ascii="Didot" w:hAnsi="Didot" w:cs="Didot"/>
          <w:sz w:val="22"/>
          <w:szCs w:val="22"/>
          <w:lang w:val="en-GB"/>
        </w:rPr>
        <w:t xml:space="preserve"> Source: Global Sch</w:t>
      </w:r>
      <w:r w:rsidR="00DC462C" w:rsidRPr="006916FC">
        <w:rPr>
          <w:rFonts w:ascii="Didot" w:hAnsi="Didot" w:cs="Didot"/>
          <w:sz w:val="22"/>
          <w:szCs w:val="22"/>
          <w:lang w:val="en-GB"/>
        </w:rPr>
        <w:t>ool-Based Student Health Survey</w:t>
      </w:r>
    </w:p>
    <w:p w14:paraId="5708791F" w14:textId="77777777" w:rsidR="00DC462C" w:rsidRPr="006916FC" w:rsidRDefault="00DC462C" w:rsidP="008A7E29">
      <w:pPr>
        <w:jc w:val="both"/>
        <w:rPr>
          <w:rFonts w:ascii="Didot" w:hAnsi="Didot" w:cs="Didot"/>
          <w:sz w:val="22"/>
          <w:szCs w:val="22"/>
          <w:lang w:val="en-GB"/>
        </w:rPr>
      </w:pPr>
    </w:p>
    <w:p w14:paraId="7B1B7213" w14:textId="77777777" w:rsidR="00160E26" w:rsidRPr="006916FC" w:rsidRDefault="00160E26" w:rsidP="008A7E29">
      <w:pPr>
        <w:jc w:val="both"/>
        <w:rPr>
          <w:rFonts w:ascii="Didot" w:hAnsi="Didot" w:cs="Didot"/>
          <w:sz w:val="22"/>
          <w:szCs w:val="22"/>
          <w:lang w:val="en-GB"/>
        </w:rPr>
        <w:sectPr w:rsidR="00160E26" w:rsidRPr="006916FC" w:rsidSect="003D6AB9">
          <w:type w:val="continuous"/>
          <w:pgSz w:w="12240" w:h="15840" w:code="1"/>
          <w:pgMar w:top="1380" w:right="1680" w:bottom="280" w:left="1520" w:header="720" w:footer="720" w:gutter="0"/>
          <w:cols w:space="720"/>
          <w:docGrid w:linePitch="299"/>
        </w:sectPr>
      </w:pPr>
    </w:p>
    <w:p w14:paraId="66F43E9B" w14:textId="77777777" w:rsidR="00910A26" w:rsidRPr="008B4D4B" w:rsidRDefault="00910A26" w:rsidP="008A7E29">
      <w:pPr>
        <w:jc w:val="both"/>
        <w:rPr>
          <w:rFonts w:ascii="Didot" w:hAnsi="Didot" w:cs="Didot"/>
          <w:sz w:val="22"/>
          <w:szCs w:val="22"/>
          <w:lang w:val="en-GB"/>
        </w:rPr>
      </w:pPr>
      <w:r w:rsidRPr="008B4D4B">
        <w:rPr>
          <w:rFonts w:ascii="Didot" w:hAnsi="Didot" w:cs="Didot"/>
          <w:sz w:val="22"/>
          <w:szCs w:val="22"/>
          <w:lang w:val="en-GB"/>
        </w:rPr>
        <w:lastRenderedPageBreak/>
        <w:t>Another key finding from longitudinal studies in high-income countries is the link between persistent conduct problems in childhood and the development of more serious violence in adolescence and young adulthood.</w:t>
      </w:r>
      <w:r w:rsidRPr="008B4D4B">
        <w:rPr>
          <w:rFonts w:ascii="Didot" w:hAnsi="Didot" w:cs="Didot"/>
          <w:noProof/>
          <w:sz w:val="22"/>
          <w:szCs w:val="22"/>
          <w:vertAlign w:val="superscript"/>
          <w:lang w:val="en-GB"/>
        </w:rPr>
        <w:t>7</w:t>
      </w:r>
      <w:r w:rsidRPr="008B4D4B">
        <w:rPr>
          <w:rFonts w:ascii="Didot" w:hAnsi="Didot" w:cs="Didot"/>
          <w:sz w:val="22"/>
          <w:szCs w:val="22"/>
          <w:lang w:val="en-GB"/>
        </w:rPr>
        <w:t xml:space="preserve"> Again, the generalisability of this basic finding may be questioned when taking a global perspective. If this developmental model were correct, one would expect that countries with high levels of violence also have high levels of childhood conduct disorders. However, systematic reviews of the literature suggest that the prevalence of conduct and other externalising disorders vary little by </w:t>
      </w:r>
      <w:r w:rsidRPr="008B4D4B">
        <w:rPr>
          <w:rFonts w:ascii="Didot" w:hAnsi="Didot" w:cs="Didot"/>
          <w:sz w:val="22"/>
          <w:szCs w:val="22"/>
          <w:lang w:val="en-GB"/>
        </w:rPr>
        <w:lastRenderedPageBreak/>
        <w:t>geographical region.</w:t>
      </w:r>
      <w:r w:rsidRPr="008B4D4B">
        <w:rPr>
          <w:rFonts w:ascii="Didot" w:hAnsi="Didot" w:cs="Didot"/>
          <w:noProof/>
          <w:sz w:val="22"/>
          <w:szCs w:val="22"/>
          <w:vertAlign w:val="superscript"/>
          <w:lang w:val="en-GB"/>
        </w:rPr>
        <w:t>8,9</w:t>
      </w:r>
      <w:r w:rsidRPr="008B4D4B">
        <w:rPr>
          <w:rFonts w:ascii="Didot" w:hAnsi="Didot" w:cs="Didot"/>
          <w:sz w:val="22"/>
          <w:szCs w:val="22"/>
          <w:lang w:val="en-GB"/>
        </w:rPr>
        <w:t xml:space="preserve"> </w:t>
      </w:r>
      <w:proofErr w:type="gramStart"/>
      <w:r w:rsidRPr="008B4D4B">
        <w:rPr>
          <w:rFonts w:ascii="Didot" w:hAnsi="Didot" w:cs="Didot"/>
          <w:sz w:val="22"/>
          <w:szCs w:val="22"/>
          <w:lang w:val="en-GB"/>
        </w:rPr>
        <w:t>Why</w:t>
      </w:r>
      <w:proofErr w:type="gramEnd"/>
      <w:r w:rsidRPr="008B4D4B">
        <w:rPr>
          <w:rFonts w:ascii="Didot" w:hAnsi="Didot" w:cs="Didot"/>
          <w:sz w:val="22"/>
          <w:szCs w:val="22"/>
          <w:lang w:val="en-GB"/>
        </w:rPr>
        <w:t xml:space="preserve"> do some countries develop high levels of violence in adolescence and young adulthood despite normative levels of childhood disorders? Does the standard developmental model of violence need adapting across social context?</w:t>
      </w:r>
    </w:p>
    <w:p w14:paraId="4312BC51" w14:textId="77777777" w:rsidR="00DC462C" w:rsidRPr="008B4D4B" w:rsidRDefault="00DC462C" w:rsidP="008A7E29">
      <w:pPr>
        <w:jc w:val="both"/>
        <w:rPr>
          <w:rFonts w:ascii="Didot" w:hAnsi="Didot" w:cs="Didot"/>
          <w:sz w:val="22"/>
          <w:szCs w:val="22"/>
          <w:lang w:val="en-GB"/>
        </w:rPr>
      </w:pPr>
    </w:p>
    <w:p w14:paraId="40CF3A81" w14:textId="77777777" w:rsidR="00910A26" w:rsidRPr="008B4D4B" w:rsidRDefault="00910A26" w:rsidP="008A7E29">
      <w:pPr>
        <w:jc w:val="both"/>
        <w:rPr>
          <w:rFonts w:ascii="Didot" w:hAnsi="Didot" w:cs="Didot"/>
          <w:sz w:val="22"/>
          <w:szCs w:val="22"/>
          <w:lang w:val="en-GB"/>
        </w:rPr>
      </w:pPr>
      <w:r w:rsidRPr="008B4D4B">
        <w:rPr>
          <w:rFonts w:ascii="Didot" w:hAnsi="Didot" w:cs="Didot"/>
          <w:sz w:val="22"/>
          <w:szCs w:val="22"/>
          <w:lang w:val="en-GB"/>
        </w:rPr>
        <w:t>To assess the current state of knowledge about correlates and risk factors for conduct problems, crime and violence in low- and middle-income countries we have been conducting a systematic review. We have searched for studies in six different languages (English, French, Portuguese, Spanish, Chinese, and Arabic) and screened over 40,000 references. Studies were eligible for the review if they included at least 100 participants from a general population sample in a low- or middle-income country, and reported tests of correlates or risk factors for conduct problems, crime, or violence in children or youth (up to age 30). This extensive search revealed that about 38 longitudinal studies have been conducted on these topics in low- and middle-income countries. However, the vast majority focused on childhood conduct problems, and only a handful examined youth violence as an outcome.</w:t>
      </w:r>
    </w:p>
    <w:p w14:paraId="657D25AB" w14:textId="77777777" w:rsidR="001A057F" w:rsidRPr="008B4D4B" w:rsidRDefault="001A057F" w:rsidP="008A7E29">
      <w:pPr>
        <w:jc w:val="both"/>
        <w:rPr>
          <w:rFonts w:ascii="Didot" w:hAnsi="Didot" w:cs="Didot"/>
          <w:b/>
          <w:sz w:val="22"/>
          <w:szCs w:val="22"/>
          <w:lang w:val="en-GB"/>
        </w:rPr>
      </w:pPr>
    </w:p>
    <w:p w14:paraId="0D1B0E2E" w14:textId="77777777" w:rsidR="00DC462C" w:rsidRPr="008B4D4B" w:rsidRDefault="00DC462C" w:rsidP="008A7E29">
      <w:pPr>
        <w:jc w:val="both"/>
        <w:rPr>
          <w:rFonts w:ascii="Didot" w:hAnsi="Didot" w:cs="Didot"/>
          <w:b/>
          <w:sz w:val="22"/>
          <w:szCs w:val="22"/>
          <w:lang w:val="en-GB"/>
        </w:rPr>
      </w:pPr>
      <w:r w:rsidRPr="008B4D4B">
        <w:rPr>
          <w:rFonts w:ascii="Didot" w:hAnsi="Didot" w:cs="Didot"/>
          <w:b/>
          <w:sz w:val="22"/>
          <w:szCs w:val="22"/>
          <w:lang w:val="en-GB"/>
        </w:rPr>
        <w:t>New findings from longitudinal studies in Brazil</w:t>
      </w:r>
    </w:p>
    <w:p w14:paraId="61FBB441" w14:textId="77777777" w:rsidR="00DC462C" w:rsidRPr="008B4D4B" w:rsidRDefault="00DC462C" w:rsidP="008A7E29">
      <w:pPr>
        <w:jc w:val="both"/>
        <w:rPr>
          <w:rFonts w:ascii="Didot" w:hAnsi="Didot" w:cs="Didot"/>
          <w:sz w:val="22"/>
          <w:szCs w:val="22"/>
          <w:lang w:val="en-GB"/>
        </w:rPr>
      </w:pPr>
    </w:p>
    <w:p w14:paraId="103F0EA3" w14:textId="77777777" w:rsidR="00DC462C" w:rsidRPr="008B4D4B" w:rsidRDefault="00DC462C" w:rsidP="008A7E29">
      <w:pPr>
        <w:jc w:val="both"/>
        <w:rPr>
          <w:rFonts w:ascii="Didot" w:hAnsi="Didot" w:cs="Didot"/>
          <w:sz w:val="22"/>
          <w:szCs w:val="22"/>
          <w:lang w:val="en-GB"/>
        </w:rPr>
      </w:pPr>
      <w:r w:rsidRPr="008B4D4B">
        <w:rPr>
          <w:rFonts w:ascii="Didot" w:hAnsi="Didot" w:cs="Didot"/>
          <w:sz w:val="22"/>
          <w:szCs w:val="22"/>
          <w:lang w:val="en-GB"/>
        </w:rPr>
        <w:t xml:space="preserve">To advance knowledge on causes of violence in a middle-income setting with a high rate of violence, we are conducting new research in Brazil. Two birth cohorts born in 1982 and 1993 in the city of Pelotas, southern Brazil, including over 5,000 participants in each, have been repeatedly assessed since birth in interviews, questionnaires, and clinic assessments. In recent years, we have collected self-report information on violence, and criminal records for both cohorts. These provide data on violence up to age 18 for the 1993 cohort and up to age 30 for the 1982 cohort. The 1993 cohort is </w:t>
      </w:r>
      <w:proofErr w:type="gramStart"/>
      <w:r w:rsidRPr="008B4D4B">
        <w:rPr>
          <w:rFonts w:ascii="Didot" w:hAnsi="Didot" w:cs="Didot"/>
          <w:sz w:val="22"/>
          <w:szCs w:val="22"/>
          <w:lang w:val="en-GB"/>
        </w:rPr>
        <w:t>well-matched</w:t>
      </w:r>
      <w:proofErr w:type="gramEnd"/>
      <w:r w:rsidRPr="008B4D4B">
        <w:rPr>
          <w:rFonts w:ascii="Didot" w:hAnsi="Didot" w:cs="Didot"/>
          <w:sz w:val="22"/>
          <w:szCs w:val="22"/>
          <w:lang w:val="en-GB"/>
        </w:rPr>
        <w:t xml:space="preserve"> with a similar study in England (ALSPAC, including some 14,000 children born in the Bristol area in the early 1990’s). This provides a unique opportunity to compare the development of violent behaviour through time, and risk factors between two very different social contexts. Given the health and social disadvantages that many children in Brazil are exposed to from the start of life, we have examined the role of very early (perinatal) variables in predicting childhood conduct problems and youth violence in the Pelotas 1993 cohort, and compared findings with ALSPAC.</w:t>
      </w:r>
    </w:p>
    <w:p w14:paraId="5E2141B4" w14:textId="77777777" w:rsidR="00160E26" w:rsidRPr="008B4D4B" w:rsidRDefault="00160E26" w:rsidP="008A7E29">
      <w:pPr>
        <w:jc w:val="both"/>
        <w:rPr>
          <w:rFonts w:ascii="Didot" w:hAnsi="Didot" w:cs="Didot"/>
          <w:sz w:val="22"/>
          <w:szCs w:val="22"/>
          <w:lang w:val="en-GB"/>
        </w:rPr>
        <w:sectPr w:rsidR="00160E26" w:rsidRPr="008B4D4B" w:rsidSect="00160E26">
          <w:type w:val="continuous"/>
          <w:pgSz w:w="12240" w:h="15840" w:code="1"/>
          <w:pgMar w:top="1380" w:right="1680" w:bottom="280" w:left="1520" w:header="720" w:footer="720" w:gutter="0"/>
          <w:cols w:space="720"/>
          <w:docGrid w:linePitch="299"/>
        </w:sectPr>
      </w:pPr>
    </w:p>
    <w:p w14:paraId="3CE282F6" w14:textId="77777777" w:rsidR="00910A26" w:rsidRPr="008B4D4B" w:rsidRDefault="00910A26" w:rsidP="008A7E29">
      <w:pPr>
        <w:jc w:val="both"/>
        <w:rPr>
          <w:rFonts w:ascii="Didot" w:hAnsi="Didot" w:cs="Didot"/>
          <w:sz w:val="22"/>
          <w:szCs w:val="22"/>
          <w:lang w:val="en-GB"/>
        </w:rPr>
      </w:pPr>
    </w:p>
    <w:p w14:paraId="58C6F8C6" w14:textId="77777777" w:rsidR="00DC462C" w:rsidRPr="008B4D4B" w:rsidRDefault="00DC462C" w:rsidP="008A7E29">
      <w:pPr>
        <w:jc w:val="both"/>
        <w:rPr>
          <w:rFonts w:ascii="Didot" w:hAnsi="Didot" w:cs="Didot"/>
          <w:b/>
          <w:sz w:val="22"/>
          <w:szCs w:val="22"/>
          <w:lang w:val="en-GB"/>
        </w:rPr>
      </w:pPr>
      <w:r w:rsidRPr="008B4D4B">
        <w:rPr>
          <w:rFonts w:ascii="Didot" w:hAnsi="Didot" w:cs="Didot"/>
          <w:b/>
          <w:sz w:val="22"/>
          <w:szCs w:val="22"/>
          <w:lang w:val="en-GB"/>
        </w:rPr>
        <w:t>Method</w:t>
      </w:r>
    </w:p>
    <w:p w14:paraId="6442A2DD" w14:textId="77777777" w:rsidR="00160E26" w:rsidRPr="008B4D4B" w:rsidRDefault="00160E26" w:rsidP="008A7E29">
      <w:pPr>
        <w:jc w:val="both"/>
        <w:rPr>
          <w:rFonts w:ascii="Didot" w:hAnsi="Didot" w:cs="Didot"/>
          <w:sz w:val="22"/>
          <w:szCs w:val="22"/>
          <w:lang w:val="en-GB"/>
        </w:rPr>
        <w:sectPr w:rsidR="00160E26" w:rsidRPr="008B4D4B" w:rsidSect="003D6AB9">
          <w:type w:val="continuous"/>
          <w:pgSz w:w="12240" w:h="15840" w:code="1"/>
          <w:pgMar w:top="1380" w:right="1680" w:bottom="280" w:left="1520" w:header="720" w:footer="720" w:gutter="0"/>
          <w:cols w:space="720"/>
          <w:docGrid w:linePitch="299"/>
        </w:sectPr>
      </w:pPr>
    </w:p>
    <w:p w14:paraId="6B6ED771" w14:textId="77777777" w:rsidR="00DC462C" w:rsidRPr="008B4D4B" w:rsidRDefault="00DC462C" w:rsidP="008A7E29">
      <w:pPr>
        <w:jc w:val="both"/>
        <w:rPr>
          <w:rFonts w:ascii="Didot" w:hAnsi="Didot" w:cs="Didot"/>
          <w:sz w:val="22"/>
          <w:szCs w:val="22"/>
          <w:lang w:val="en-GB"/>
        </w:rPr>
      </w:pPr>
    </w:p>
    <w:p w14:paraId="164BFE1E" w14:textId="77777777" w:rsidR="00DC462C" w:rsidRPr="008B4D4B" w:rsidRDefault="00DC462C" w:rsidP="008A7E29">
      <w:pPr>
        <w:jc w:val="both"/>
        <w:rPr>
          <w:rFonts w:ascii="Didot" w:hAnsi="Didot" w:cs="Didot"/>
          <w:sz w:val="22"/>
          <w:szCs w:val="22"/>
          <w:lang w:val="en-GB"/>
        </w:rPr>
      </w:pPr>
      <w:r w:rsidRPr="008B4D4B">
        <w:rPr>
          <w:rFonts w:ascii="Didot" w:hAnsi="Didot" w:cs="Didot"/>
          <w:sz w:val="22"/>
          <w:szCs w:val="22"/>
        </w:rPr>
        <w:t>In the 1993 Pelotas Birth Cohort, all births occurring in the five maternity clinics in the town of Pelotas were monitored in 1993 (</w:t>
      </w:r>
      <w:proofErr w:type="gramStart"/>
      <w:r w:rsidRPr="008B4D4B">
        <w:rPr>
          <w:rFonts w:ascii="Didot" w:hAnsi="Didot" w:cs="Didot"/>
          <w:sz w:val="22"/>
          <w:szCs w:val="22"/>
        </w:rPr>
        <w:t>99%</w:t>
      </w:r>
      <w:proofErr w:type="gramEnd"/>
      <w:r w:rsidRPr="008B4D4B">
        <w:rPr>
          <w:rFonts w:ascii="Didot" w:hAnsi="Didot" w:cs="Didot"/>
          <w:sz w:val="22"/>
          <w:szCs w:val="22"/>
        </w:rPr>
        <w:t xml:space="preserve"> of births in Pelotas occurred in hospital). 5,249 newborns, whose mothers lived in the urban area, were included in the cohort. ALSPAC recruited 14,541 pregnant women resident in Avon, Britain with expected dates of delivery 1st </w:t>
      </w:r>
      <w:proofErr w:type="gramStart"/>
      <w:r w:rsidRPr="008B4D4B">
        <w:rPr>
          <w:rFonts w:ascii="Didot" w:hAnsi="Didot" w:cs="Didot"/>
          <w:sz w:val="22"/>
          <w:szCs w:val="22"/>
        </w:rPr>
        <w:t>April</w:t>
      </w:r>
      <w:proofErr w:type="gramEnd"/>
      <w:r w:rsidRPr="008B4D4B">
        <w:rPr>
          <w:rFonts w:ascii="Didot" w:hAnsi="Didot" w:cs="Didot"/>
          <w:sz w:val="22"/>
          <w:szCs w:val="22"/>
        </w:rPr>
        <w:t xml:space="preserve"> 1991 to 31st December 1992; and, from age 7, continued to recruit children born in that area at that time until age 18. We used data on 14,762 live-born singleton or twin children.</w:t>
      </w:r>
    </w:p>
    <w:p w14:paraId="7C60864F" w14:textId="77777777" w:rsidR="00DC462C" w:rsidRPr="008B4D4B" w:rsidRDefault="00DC462C" w:rsidP="008A7E29">
      <w:pPr>
        <w:jc w:val="both"/>
        <w:rPr>
          <w:rFonts w:ascii="Didot" w:hAnsi="Didot" w:cs="Didot"/>
          <w:sz w:val="22"/>
          <w:szCs w:val="22"/>
          <w:lang w:val="en-GB"/>
        </w:rPr>
      </w:pPr>
    </w:p>
    <w:p w14:paraId="1E0D747F" w14:textId="77777777" w:rsidR="00DC462C" w:rsidRPr="008B4D4B" w:rsidRDefault="00DC462C" w:rsidP="008A7E29">
      <w:pPr>
        <w:jc w:val="both"/>
        <w:rPr>
          <w:rFonts w:ascii="Didot" w:hAnsi="Didot" w:cs="Didot"/>
          <w:sz w:val="22"/>
          <w:szCs w:val="22"/>
        </w:rPr>
      </w:pPr>
      <w:r w:rsidRPr="008B4D4B">
        <w:rPr>
          <w:rFonts w:ascii="Didot" w:hAnsi="Didot" w:cs="Didot"/>
          <w:sz w:val="22"/>
          <w:szCs w:val="22"/>
          <w:lang w:val="en-GB"/>
        </w:rPr>
        <w:t>R</w:t>
      </w:r>
      <w:r w:rsidRPr="008B4D4B">
        <w:rPr>
          <w:rFonts w:ascii="Didot" w:hAnsi="Didot" w:cs="Didot"/>
          <w:sz w:val="22"/>
          <w:szCs w:val="22"/>
        </w:rPr>
        <w:t xml:space="preserve">isk factors were measured during perinatal interviews with mothers in Pelotas and in similar questionnaire items during pregnancy and perinatal assessments with mothers in ALSPAC. The following health and social risk factors were assessed in both studies: unplanned pregnancy, mother ever smoked in pregnancy, mother used alcohol regularly in </w:t>
      </w:r>
      <w:r w:rsidRPr="008B4D4B">
        <w:rPr>
          <w:rFonts w:ascii="Didot" w:hAnsi="Didot" w:cs="Didot"/>
          <w:sz w:val="22"/>
          <w:szCs w:val="22"/>
        </w:rPr>
        <w:lastRenderedPageBreak/>
        <w:t>pregnancy, maternal urinary infection during pregnancy, intrauterine growth restriction, premature birth, young maternal age, low maternal education, single mother, large family, and low family income.</w:t>
      </w:r>
    </w:p>
    <w:p w14:paraId="053ADFEB" w14:textId="77777777" w:rsidR="00DC462C" w:rsidRPr="008B4D4B" w:rsidRDefault="00DC462C" w:rsidP="008A7E29">
      <w:pPr>
        <w:jc w:val="both"/>
        <w:rPr>
          <w:rFonts w:ascii="Didot" w:hAnsi="Didot" w:cs="Didot"/>
          <w:sz w:val="22"/>
          <w:szCs w:val="22"/>
        </w:rPr>
      </w:pPr>
    </w:p>
    <w:p w14:paraId="3EACDB31" w14:textId="77777777" w:rsidR="00DC462C" w:rsidRPr="008B4D4B" w:rsidRDefault="00DC462C" w:rsidP="008A7E29">
      <w:pPr>
        <w:jc w:val="both"/>
        <w:rPr>
          <w:rFonts w:ascii="Didot" w:hAnsi="Didot" w:cs="Didot"/>
          <w:sz w:val="22"/>
          <w:szCs w:val="22"/>
        </w:rPr>
      </w:pPr>
      <w:r w:rsidRPr="008B4D4B">
        <w:rPr>
          <w:rFonts w:ascii="Didot" w:hAnsi="Didot" w:cs="Didot"/>
          <w:sz w:val="22"/>
          <w:szCs w:val="22"/>
        </w:rPr>
        <w:t>When children were age 11 years, childhood conduct problems were measured in both studies using the parent version of the Strengths and Difficulties Questionnaire.</w:t>
      </w:r>
    </w:p>
    <w:p w14:paraId="0861AFB6" w14:textId="77777777" w:rsidR="00DC462C" w:rsidRPr="008B4D4B" w:rsidRDefault="00DC462C" w:rsidP="008A7E29">
      <w:pPr>
        <w:jc w:val="both"/>
        <w:rPr>
          <w:rFonts w:ascii="Didot" w:hAnsi="Didot" w:cs="Didot"/>
          <w:sz w:val="22"/>
          <w:szCs w:val="22"/>
        </w:rPr>
      </w:pPr>
      <w:r w:rsidRPr="008B4D4B">
        <w:rPr>
          <w:rFonts w:ascii="Didot" w:hAnsi="Didot" w:cs="Didot"/>
          <w:sz w:val="22"/>
          <w:szCs w:val="22"/>
        </w:rPr>
        <w:t>At age 18, violent and non-violent crime were assessed in a confidential self-report questionnaire. The questionnaire used in ALSPAC was first translated to Brazilian Portuguese, piloted in the local population, adjusted by bi-lingual researchers, and back-translated to English.</w:t>
      </w:r>
    </w:p>
    <w:p w14:paraId="269E827B" w14:textId="77777777" w:rsidR="00160E26" w:rsidRPr="008B4D4B" w:rsidRDefault="00160E26" w:rsidP="008A7E29">
      <w:pPr>
        <w:widowControl w:val="0"/>
        <w:autoSpaceDE w:val="0"/>
        <w:autoSpaceDN w:val="0"/>
        <w:adjustRightInd w:val="0"/>
        <w:spacing w:after="240"/>
        <w:jc w:val="both"/>
        <w:rPr>
          <w:rFonts w:ascii="Didot" w:hAnsi="Didot" w:cs="Didot"/>
          <w:color w:val="121212"/>
          <w:sz w:val="22"/>
          <w:szCs w:val="22"/>
          <w:lang w:val="en-US"/>
        </w:rPr>
        <w:sectPr w:rsidR="00160E26" w:rsidRPr="008B4D4B" w:rsidSect="00160E26">
          <w:type w:val="continuous"/>
          <w:pgSz w:w="12240" w:h="15840" w:code="1"/>
          <w:pgMar w:top="1380" w:right="1680" w:bottom="280" w:left="1520" w:header="720" w:footer="720" w:gutter="0"/>
          <w:cols w:space="720"/>
          <w:docGrid w:linePitch="299"/>
        </w:sectPr>
      </w:pPr>
    </w:p>
    <w:p w14:paraId="39266F32" w14:textId="77777777" w:rsidR="001A057F" w:rsidRPr="008B4D4B" w:rsidRDefault="001A057F" w:rsidP="008A7E29">
      <w:pPr>
        <w:jc w:val="both"/>
        <w:rPr>
          <w:rFonts w:ascii="Didot" w:hAnsi="Didot" w:cs="Didot"/>
          <w:b/>
          <w:sz w:val="22"/>
          <w:szCs w:val="22"/>
          <w:lang w:val="en-GB"/>
        </w:rPr>
      </w:pPr>
    </w:p>
    <w:p w14:paraId="1284AC0E" w14:textId="77777777" w:rsidR="001A057F" w:rsidRPr="008B4D4B" w:rsidRDefault="001A057F" w:rsidP="008A7E29">
      <w:pPr>
        <w:jc w:val="both"/>
        <w:rPr>
          <w:rFonts w:ascii="Didot" w:hAnsi="Didot" w:cs="Didot"/>
          <w:b/>
          <w:sz w:val="22"/>
          <w:szCs w:val="22"/>
          <w:lang w:val="en-GB"/>
        </w:rPr>
      </w:pPr>
    </w:p>
    <w:p w14:paraId="06C9553A" w14:textId="77777777" w:rsidR="00DC462C" w:rsidRPr="008B4D4B" w:rsidRDefault="00DC462C" w:rsidP="008A7E29">
      <w:pPr>
        <w:jc w:val="both"/>
        <w:rPr>
          <w:rFonts w:ascii="Didot" w:hAnsi="Didot" w:cs="Didot"/>
          <w:b/>
          <w:sz w:val="22"/>
          <w:szCs w:val="22"/>
          <w:lang w:val="en-GB"/>
        </w:rPr>
      </w:pPr>
      <w:r w:rsidRPr="008B4D4B">
        <w:rPr>
          <w:rFonts w:ascii="Didot" w:hAnsi="Didot" w:cs="Didot"/>
          <w:b/>
          <w:sz w:val="22"/>
          <w:szCs w:val="22"/>
          <w:lang w:val="en-GB"/>
        </w:rPr>
        <w:t>Preliminary findings</w:t>
      </w:r>
    </w:p>
    <w:p w14:paraId="74D75820" w14:textId="77777777" w:rsidR="00DC462C" w:rsidRPr="008B4D4B" w:rsidRDefault="00DC462C" w:rsidP="008A7E29">
      <w:pPr>
        <w:jc w:val="both"/>
        <w:rPr>
          <w:rFonts w:ascii="Didot" w:hAnsi="Didot" w:cs="Didot"/>
          <w:b/>
          <w:sz w:val="22"/>
          <w:szCs w:val="22"/>
          <w:lang w:val="en-GB"/>
        </w:rPr>
      </w:pPr>
    </w:p>
    <w:p w14:paraId="045CBD76" w14:textId="77777777" w:rsidR="00160E26" w:rsidRPr="008B4D4B" w:rsidRDefault="00160E26" w:rsidP="008A7E29">
      <w:pPr>
        <w:jc w:val="both"/>
        <w:rPr>
          <w:rFonts w:ascii="Didot" w:hAnsi="Didot" w:cs="Didot"/>
          <w:noProof/>
          <w:sz w:val="22"/>
          <w:szCs w:val="22"/>
        </w:rPr>
        <w:sectPr w:rsidR="00160E26" w:rsidRPr="008B4D4B" w:rsidSect="003D6AB9">
          <w:type w:val="continuous"/>
          <w:pgSz w:w="12240" w:h="15840" w:code="1"/>
          <w:pgMar w:top="1380" w:right="1680" w:bottom="280" w:left="1520" w:header="720" w:footer="720" w:gutter="0"/>
          <w:cols w:space="720"/>
          <w:docGrid w:linePitch="299"/>
        </w:sectPr>
      </w:pPr>
    </w:p>
    <w:p w14:paraId="74DD18D4" w14:textId="77777777" w:rsidR="00DC462C" w:rsidRPr="008B4D4B" w:rsidRDefault="00DC462C" w:rsidP="008A7E29">
      <w:pPr>
        <w:jc w:val="both"/>
        <w:rPr>
          <w:rFonts w:ascii="Didot" w:hAnsi="Didot" w:cs="Didot"/>
          <w:noProof/>
          <w:sz w:val="22"/>
          <w:szCs w:val="22"/>
        </w:rPr>
      </w:pPr>
      <w:r w:rsidRPr="008B4D4B">
        <w:rPr>
          <w:rFonts w:ascii="Didot" w:hAnsi="Didot" w:cs="Didot"/>
          <w:noProof/>
          <w:sz w:val="22"/>
          <w:szCs w:val="22"/>
        </w:rPr>
        <w:lastRenderedPageBreak/>
        <w:t xml:space="preserve">Across a range of perinatal and demographic indicators, children in the Brazilian cohort were exposed to many more risk factors than in the British cohort, emphasising the different starting points for children born in in middle- versus high-income settings, with possible repercussions for development. </w:t>
      </w:r>
    </w:p>
    <w:p w14:paraId="610E695C" w14:textId="77777777" w:rsidR="00DC462C" w:rsidRPr="008B4D4B" w:rsidRDefault="00DC462C" w:rsidP="008A7E29">
      <w:pPr>
        <w:jc w:val="both"/>
        <w:rPr>
          <w:rFonts w:ascii="Didot" w:hAnsi="Didot" w:cs="Didot"/>
          <w:noProof/>
          <w:sz w:val="22"/>
          <w:szCs w:val="22"/>
        </w:rPr>
      </w:pPr>
    </w:p>
    <w:p w14:paraId="00ECE171" w14:textId="77777777" w:rsidR="00DC462C" w:rsidRPr="008B4D4B" w:rsidRDefault="00DC462C" w:rsidP="008A7E29">
      <w:pPr>
        <w:jc w:val="both"/>
        <w:rPr>
          <w:rFonts w:ascii="Didot" w:hAnsi="Didot" w:cs="Didot"/>
          <w:noProof/>
          <w:sz w:val="22"/>
          <w:szCs w:val="22"/>
        </w:rPr>
      </w:pPr>
      <w:r w:rsidRPr="008B4D4B">
        <w:rPr>
          <w:rFonts w:ascii="Didot" w:hAnsi="Didot" w:cs="Didot"/>
          <w:sz w:val="22"/>
          <w:szCs w:val="22"/>
        </w:rPr>
        <w:t>Many of the same risk factors were important in both contexts; the following risk factors predicted conduct problems in both Brazil and Britain: unplanned pregnancy, maternal smoking in pregnancy, teenage mother, low maternal education, single mother, low family income, and cumulative counts of perinatal and demographic risk factors. However, we found that several associations between risk factors and antisocial outcomes were significantly weaker in Brazil than in Britain. Strikingly, almost no risk factors were predictive of male youth violence in Brazil.</w:t>
      </w:r>
      <w:r w:rsidRPr="008B4D4B">
        <w:rPr>
          <w:rFonts w:ascii="Didot" w:hAnsi="Didot" w:cs="Didot"/>
          <w:noProof/>
          <w:sz w:val="22"/>
          <w:szCs w:val="22"/>
        </w:rPr>
        <w:t xml:space="preserve"> </w:t>
      </w:r>
    </w:p>
    <w:p w14:paraId="1A915890" w14:textId="77777777" w:rsidR="00DC462C" w:rsidRPr="008B4D4B" w:rsidRDefault="00DC462C" w:rsidP="008A7E29">
      <w:pPr>
        <w:jc w:val="both"/>
        <w:rPr>
          <w:rFonts w:ascii="Didot" w:hAnsi="Didot" w:cs="Didot"/>
          <w:sz w:val="22"/>
          <w:szCs w:val="22"/>
        </w:rPr>
      </w:pPr>
    </w:p>
    <w:p w14:paraId="54FF3BBE" w14:textId="77777777" w:rsidR="00DC462C" w:rsidRPr="008B4D4B" w:rsidRDefault="00DC462C" w:rsidP="008A7E29">
      <w:pPr>
        <w:jc w:val="both"/>
        <w:rPr>
          <w:rFonts w:ascii="Didot" w:hAnsi="Didot" w:cs="Didot"/>
          <w:sz w:val="22"/>
          <w:szCs w:val="22"/>
        </w:rPr>
      </w:pPr>
      <w:r w:rsidRPr="008B4D4B">
        <w:rPr>
          <w:rFonts w:ascii="Didot" w:hAnsi="Didot" w:cs="Didot"/>
          <w:sz w:val="22"/>
          <w:szCs w:val="22"/>
        </w:rPr>
        <w:t>One reason why perinatal factors may be less important for violence in Brazil than in Britain is the “social push” hypothesis, whereby early biological factors are less important in contexts where social influences play a strong role. For example, in Brazil, male violence in adolescence may be better explained by exposure to gangs, drug and arms trades, disordered schools, weak state infrastructure in poor communities, a culture of violence, and ineffective police and justice systems.</w:t>
      </w:r>
      <w:r w:rsidRPr="008B4D4B">
        <w:rPr>
          <w:rFonts w:ascii="Didot" w:hAnsi="Didot" w:cs="Didot"/>
          <w:noProof/>
          <w:sz w:val="22"/>
          <w:szCs w:val="22"/>
          <w:vertAlign w:val="superscript"/>
        </w:rPr>
        <w:t>10</w:t>
      </w:r>
      <w:r w:rsidRPr="008B4D4B">
        <w:rPr>
          <w:rFonts w:ascii="Didot" w:hAnsi="Didot" w:cs="Didot"/>
          <w:sz w:val="22"/>
          <w:szCs w:val="22"/>
        </w:rPr>
        <w:t xml:space="preserve"> To our knowledge, this is the first study to test the equivalence of risk factor associations across large, population-based cohorts between social contexts as different as Brazil and Britain.</w:t>
      </w:r>
    </w:p>
    <w:p w14:paraId="5EA3CC8A" w14:textId="77777777" w:rsidR="00DC462C" w:rsidRPr="008B4D4B" w:rsidRDefault="00DC462C" w:rsidP="008A7E29">
      <w:pPr>
        <w:widowControl w:val="0"/>
        <w:autoSpaceDE w:val="0"/>
        <w:autoSpaceDN w:val="0"/>
        <w:adjustRightInd w:val="0"/>
        <w:spacing w:after="240"/>
        <w:jc w:val="both"/>
        <w:rPr>
          <w:rFonts w:ascii="Didot" w:hAnsi="Didot" w:cs="Didot"/>
          <w:color w:val="121212"/>
          <w:sz w:val="22"/>
          <w:szCs w:val="22"/>
          <w:lang w:val="en-US"/>
        </w:rPr>
      </w:pPr>
    </w:p>
    <w:p w14:paraId="4CEAAA7D" w14:textId="77777777" w:rsidR="00DC462C" w:rsidRPr="008B4D4B" w:rsidRDefault="00DC462C" w:rsidP="008A7E29">
      <w:pPr>
        <w:jc w:val="both"/>
        <w:rPr>
          <w:rFonts w:ascii="Didot" w:hAnsi="Didot" w:cs="Didot"/>
          <w:b/>
          <w:sz w:val="22"/>
          <w:szCs w:val="22"/>
          <w:lang w:val="en-GB"/>
        </w:rPr>
      </w:pPr>
      <w:r w:rsidRPr="008B4D4B">
        <w:rPr>
          <w:rFonts w:ascii="Didot" w:hAnsi="Didot" w:cs="Didot"/>
          <w:b/>
          <w:sz w:val="22"/>
          <w:szCs w:val="22"/>
          <w:lang w:val="en-GB"/>
        </w:rPr>
        <w:t>Conclusion</w:t>
      </w:r>
    </w:p>
    <w:p w14:paraId="619B6DE0" w14:textId="77777777" w:rsidR="00DC462C" w:rsidRPr="008B4D4B" w:rsidRDefault="00DC462C" w:rsidP="008A7E29">
      <w:pPr>
        <w:jc w:val="both"/>
        <w:rPr>
          <w:rFonts w:ascii="Didot" w:hAnsi="Didot" w:cs="Didot"/>
          <w:sz w:val="22"/>
          <w:szCs w:val="22"/>
          <w:lang w:val="en-GB"/>
        </w:rPr>
      </w:pPr>
    </w:p>
    <w:p w14:paraId="22D31CDE" w14:textId="77777777" w:rsidR="00160E26" w:rsidRPr="008B4D4B" w:rsidRDefault="00DC462C" w:rsidP="008A7E29">
      <w:pPr>
        <w:jc w:val="both"/>
        <w:rPr>
          <w:rFonts w:ascii="Didot" w:hAnsi="Didot" w:cs="Didot"/>
          <w:sz w:val="22"/>
          <w:szCs w:val="22"/>
          <w:lang w:val="en-GB"/>
        </w:rPr>
        <w:sectPr w:rsidR="00160E26" w:rsidRPr="008B4D4B" w:rsidSect="00160E26">
          <w:type w:val="continuous"/>
          <w:pgSz w:w="12240" w:h="15840" w:code="1"/>
          <w:pgMar w:top="1380" w:right="1680" w:bottom="280" w:left="1520" w:header="720" w:footer="720" w:gutter="0"/>
          <w:cols w:space="720"/>
          <w:docGrid w:linePitch="299"/>
        </w:sectPr>
      </w:pPr>
      <w:r w:rsidRPr="008B4D4B">
        <w:rPr>
          <w:rFonts w:ascii="Didot" w:hAnsi="Didot" w:cs="Didot"/>
          <w:sz w:val="22"/>
          <w:szCs w:val="22"/>
          <w:lang w:val="en-GB"/>
        </w:rPr>
        <w:t xml:space="preserve">Preliminary findings from comparison of two large Brazilian and British cohort studies demonstrate that risk factor associations can be highly dependent on the broader social context. Prevention programmes developed in high-income countries may not prove effective in other settings. Serious investment must be made in basic research on causes of violence in low- and middle-income countries where the </w:t>
      </w:r>
      <w:r w:rsidR="00487EBC" w:rsidRPr="008B4D4B">
        <w:rPr>
          <w:rFonts w:ascii="Didot" w:hAnsi="Didot" w:cs="Didot"/>
          <w:sz w:val="22"/>
          <w:szCs w:val="22"/>
          <w:lang w:val="en-GB"/>
        </w:rPr>
        <w:t>problem of violence is greate</w:t>
      </w:r>
    </w:p>
    <w:p w14:paraId="1807391B" w14:textId="77777777" w:rsidR="00DC462C" w:rsidRPr="008B4D4B" w:rsidRDefault="00DC462C" w:rsidP="008A7E29">
      <w:pPr>
        <w:jc w:val="both"/>
        <w:rPr>
          <w:rFonts w:ascii="Didot" w:hAnsi="Didot" w:cs="Didot"/>
          <w:b/>
          <w:sz w:val="22"/>
          <w:szCs w:val="22"/>
          <w:lang w:val="en-GB"/>
        </w:rPr>
        <w:sectPr w:rsidR="00DC462C" w:rsidRPr="008B4D4B" w:rsidSect="003D6AB9">
          <w:type w:val="continuous"/>
          <w:pgSz w:w="12240" w:h="15840" w:code="1"/>
          <w:pgMar w:top="1380" w:right="1680" w:bottom="280" w:left="1520" w:header="720" w:footer="720" w:gutter="0"/>
          <w:cols w:space="720"/>
          <w:docGrid w:linePitch="299"/>
        </w:sectPr>
      </w:pPr>
    </w:p>
    <w:p w14:paraId="483FB2B2" w14:textId="77777777" w:rsidR="009B55FC" w:rsidRPr="008B4D4B" w:rsidRDefault="009B55FC" w:rsidP="008A7E29">
      <w:pPr>
        <w:jc w:val="both"/>
        <w:rPr>
          <w:rFonts w:ascii="Didot" w:hAnsi="Didot" w:cs="Didot"/>
          <w:b/>
          <w:sz w:val="22"/>
          <w:szCs w:val="22"/>
          <w:lang w:val="en-GB"/>
        </w:rPr>
      </w:pPr>
    </w:p>
    <w:p w14:paraId="4CB13191" w14:textId="77777777" w:rsidR="00B34EBC" w:rsidRDefault="00B34EBC" w:rsidP="008A7E29">
      <w:pPr>
        <w:jc w:val="both"/>
        <w:rPr>
          <w:rFonts w:ascii="Didot" w:hAnsi="Didot" w:cs="Didot"/>
          <w:b/>
          <w:sz w:val="22"/>
          <w:szCs w:val="22"/>
          <w:lang w:val="en-GB"/>
        </w:rPr>
      </w:pPr>
    </w:p>
    <w:p w14:paraId="68268D15" w14:textId="77777777" w:rsidR="00DC462C" w:rsidRPr="008B4D4B" w:rsidRDefault="00DC462C" w:rsidP="008A7E29">
      <w:pPr>
        <w:jc w:val="both"/>
        <w:rPr>
          <w:rFonts w:ascii="Didot" w:hAnsi="Didot" w:cs="Didot"/>
          <w:b/>
          <w:sz w:val="22"/>
          <w:szCs w:val="22"/>
          <w:lang w:val="en-GB"/>
        </w:rPr>
      </w:pPr>
      <w:r w:rsidRPr="008B4D4B">
        <w:rPr>
          <w:rFonts w:ascii="Didot" w:hAnsi="Didot" w:cs="Didot"/>
          <w:b/>
          <w:sz w:val="22"/>
          <w:szCs w:val="22"/>
          <w:lang w:val="en-GB"/>
        </w:rPr>
        <w:lastRenderedPageBreak/>
        <w:t xml:space="preserve">References </w:t>
      </w:r>
    </w:p>
    <w:p w14:paraId="29FF5B63" w14:textId="77777777" w:rsidR="00DC462C" w:rsidRPr="008B4D4B" w:rsidRDefault="00DC462C" w:rsidP="008A7E29">
      <w:pPr>
        <w:jc w:val="both"/>
        <w:rPr>
          <w:rFonts w:ascii="Didot" w:hAnsi="Didot" w:cs="Didot"/>
          <w:sz w:val="22"/>
          <w:szCs w:val="22"/>
          <w:lang w:val="en-GB"/>
        </w:rPr>
      </w:pPr>
      <w:r w:rsidRPr="008B4D4B">
        <w:rPr>
          <w:rFonts w:ascii="Didot" w:hAnsi="Didot" w:cs="Didot"/>
          <w:sz w:val="22"/>
          <w:szCs w:val="22"/>
          <w:lang w:val="en-GB"/>
        </w:rPr>
        <w:t xml:space="preserve"> </w:t>
      </w:r>
    </w:p>
    <w:p w14:paraId="4461A900"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1.</w:t>
      </w:r>
      <w:r w:rsidRPr="008B4D4B">
        <w:rPr>
          <w:rFonts w:ascii="Didot" w:hAnsi="Didot" w:cs="Didot"/>
          <w:noProof/>
          <w:sz w:val="22"/>
          <w:szCs w:val="22"/>
          <w:lang w:val="en-GB"/>
        </w:rPr>
        <w:tab/>
        <w:t>Institute for Health Metrics and Evaluation. Global Burden of Disease 2010 Data,. 2014; http://www.healthdata.org/gbd/data. Accessed 14 August, 2014.</w:t>
      </w:r>
    </w:p>
    <w:p w14:paraId="719D3C24"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2.</w:t>
      </w:r>
      <w:r w:rsidRPr="008B4D4B">
        <w:rPr>
          <w:rFonts w:ascii="Didot" w:hAnsi="Didot" w:cs="Didot"/>
          <w:noProof/>
          <w:sz w:val="22"/>
          <w:szCs w:val="22"/>
          <w:lang w:val="en-GB"/>
        </w:rPr>
        <w:tab/>
        <w:t xml:space="preserve">Laub JH, Lauritsen JL. Violent Criminal Behavior Over the Life Course: A Review of the Longitudinal and Comparative Research. </w:t>
      </w:r>
      <w:r w:rsidRPr="008B4D4B">
        <w:rPr>
          <w:rFonts w:ascii="Didot" w:hAnsi="Didot" w:cs="Didot"/>
          <w:i/>
          <w:noProof/>
          <w:sz w:val="22"/>
          <w:szCs w:val="22"/>
          <w:lang w:val="en-GB"/>
        </w:rPr>
        <w:t xml:space="preserve">Violence Vict. </w:t>
      </w:r>
      <w:r w:rsidRPr="008B4D4B">
        <w:rPr>
          <w:rFonts w:ascii="Didot" w:hAnsi="Didot" w:cs="Didot"/>
          <w:noProof/>
          <w:sz w:val="22"/>
          <w:szCs w:val="22"/>
          <w:lang w:val="en-GB"/>
        </w:rPr>
        <w:t>1993;8(3):235-252.</w:t>
      </w:r>
    </w:p>
    <w:p w14:paraId="3819146F"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3.</w:t>
      </w:r>
      <w:r w:rsidRPr="008B4D4B">
        <w:rPr>
          <w:rFonts w:ascii="Didot" w:hAnsi="Didot" w:cs="Didot"/>
          <w:noProof/>
          <w:sz w:val="22"/>
          <w:szCs w:val="22"/>
          <w:lang w:val="en-GB"/>
        </w:rPr>
        <w:tab/>
        <w:t xml:space="preserve">Farrington DP. Explaining and preventing crime: The globalization of knowledge. The American Society of Criminology 1999 Presidential Address. </w:t>
      </w:r>
      <w:r w:rsidRPr="008B4D4B">
        <w:rPr>
          <w:rFonts w:ascii="Didot" w:hAnsi="Didot" w:cs="Didot"/>
          <w:i/>
          <w:noProof/>
          <w:sz w:val="22"/>
          <w:szCs w:val="22"/>
          <w:lang w:val="en-GB"/>
        </w:rPr>
        <w:t xml:space="preserve">Criminology. </w:t>
      </w:r>
      <w:r w:rsidRPr="008B4D4B">
        <w:rPr>
          <w:rFonts w:ascii="Didot" w:hAnsi="Didot" w:cs="Didot"/>
          <w:noProof/>
          <w:sz w:val="22"/>
          <w:szCs w:val="22"/>
          <w:lang w:val="en-GB"/>
        </w:rPr>
        <w:t>2000;38(1):1-24.</w:t>
      </w:r>
    </w:p>
    <w:p w14:paraId="3531BAC5"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4.</w:t>
      </w:r>
      <w:r w:rsidRPr="008B4D4B">
        <w:rPr>
          <w:rFonts w:ascii="Didot" w:hAnsi="Didot" w:cs="Didot"/>
          <w:noProof/>
          <w:sz w:val="22"/>
          <w:szCs w:val="22"/>
          <w:lang w:val="en-GB"/>
        </w:rPr>
        <w:tab/>
        <w:t xml:space="preserve">Hawkins JD, Herrenkohl T, Farrington DP, Brewer D, Catalano RF, Harachi TW. A review of predictors of youth violence. In: Farrington DP, Loeber R, eds. </w:t>
      </w:r>
      <w:r w:rsidRPr="008B4D4B">
        <w:rPr>
          <w:rFonts w:ascii="Didot" w:hAnsi="Didot" w:cs="Didot"/>
          <w:i/>
          <w:noProof/>
          <w:sz w:val="22"/>
          <w:szCs w:val="22"/>
          <w:lang w:val="en-GB"/>
        </w:rPr>
        <w:t>Serious and violent juvenile offenders: Risk factors and successful interventions</w:t>
      </w:r>
      <w:r w:rsidRPr="008B4D4B">
        <w:rPr>
          <w:rFonts w:ascii="Didot" w:hAnsi="Didot" w:cs="Didot"/>
          <w:noProof/>
          <w:sz w:val="22"/>
          <w:szCs w:val="22"/>
          <w:lang w:val="en-GB"/>
        </w:rPr>
        <w:t>. Thousand Oaks, CA: Sage; 1998:106–146.</w:t>
      </w:r>
    </w:p>
    <w:p w14:paraId="4FD6E63E"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5.</w:t>
      </w:r>
      <w:r w:rsidRPr="008B4D4B">
        <w:rPr>
          <w:rFonts w:ascii="Didot" w:hAnsi="Didot" w:cs="Didot"/>
          <w:noProof/>
          <w:sz w:val="22"/>
          <w:szCs w:val="22"/>
          <w:lang w:val="en-GB"/>
        </w:rPr>
        <w:tab/>
        <w:t xml:space="preserve">Lipsey MW, Derzon JH. Predictors of violent or serious delinquency in adolescence and early adulthood: A synthesis of longitudinal research. In: Farrington DP, Loeber R, eds. </w:t>
      </w:r>
      <w:r w:rsidRPr="008B4D4B">
        <w:rPr>
          <w:rFonts w:ascii="Didot" w:hAnsi="Didot" w:cs="Didot"/>
          <w:i/>
          <w:noProof/>
          <w:sz w:val="22"/>
          <w:szCs w:val="22"/>
          <w:lang w:val="en-GB"/>
        </w:rPr>
        <w:t>Serious and violent juvenile offenders: Risk factors and successful interventions</w:t>
      </w:r>
      <w:r w:rsidRPr="008B4D4B">
        <w:rPr>
          <w:rFonts w:ascii="Didot" w:hAnsi="Didot" w:cs="Didot"/>
          <w:noProof/>
          <w:sz w:val="22"/>
          <w:szCs w:val="22"/>
          <w:lang w:val="en-GB"/>
        </w:rPr>
        <w:t>. Thousand Oaks, CA: Sage; 1998:86-105.</w:t>
      </w:r>
    </w:p>
    <w:p w14:paraId="024BA7BA"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6.</w:t>
      </w:r>
      <w:r w:rsidRPr="008B4D4B">
        <w:rPr>
          <w:rFonts w:ascii="Didot" w:hAnsi="Didot" w:cs="Didot"/>
          <w:noProof/>
          <w:sz w:val="22"/>
          <w:szCs w:val="22"/>
          <w:lang w:val="en-GB"/>
        </w:rPr>
        <w:tab/>
        <w:t xml:space="preserve">Lösel F, Farrington DP. Direct Protective and Buffering Protective Factors in the Development of Youth Violence. </w:t>
      </w:r>
      <w:r w:rsidRPr="008B4D4B">
        <w:rPr>
          <w:rFonts w:ascii="Didot" w:hAnsi="Didot" w:cs="Didot"/>
          <w:i/>
          <w:noProof/>
          <w:sz w:val="22"/>
          <w:szCs w:val="22"/>
          <w:lang w:val="en-GB"/>
        </w:rPr>
        <w:t xml:space="preserve">Am. J. Prev. Med. </w:t>
      </w:r>
      <w:r w:rsidRPr="008B4D4B">
        <w:rPr>
          <w:rFonts w:ascii="Didot" w:hAnsi="Didot" w:cs="Didot"/>
          <w:noProof/>
          <w:sz w:val="22"/>
          <w:szCs w:val="22"/>
          <w:lang w:val="en-GB"/>
        </w:rPr>
        <w:t>2012;43(2):S8-S23.</w:t>
      </w:r>
    </w:p>
    <w:p w14:paraId="2B6E3DD3"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7.</w:t>
      </w:r>
      <w:r w:rsidRPr="008B4D4B">
        <w:rPr>
          <w:rFonts w:ascii="Didot" w:hAnsi="Didot" w:cs="Didot"/>
          <w:noProof/>
          <w:sz w:val="22"/>
          <w:szCs w:val="22"/>
          <w:lang w:val="en-GB"/>
        </w:rPr>
        <w:tab/>
        <w:t xml:space="preserve">Moffitt TE. Adolescence-limited and life-course-persistent antisocial behavior: A developmental taxonomy. </w:t>
      </w:r>
      <w:r w:rsidRPr="008B4D4B">
        <w:rPr>
          <w:rFonts w:ascii="Didot" w:hAnsi="Didot" w:cs="Didot"/>
          <w:i/>
          <w:noProof/>
          <w:sz w:val="22"/>
          <w:szCs w:val="22"/>
          <w:lang w:val="en-GB"/>
        </w:rPr>
        <w:t xml:space="preserve">Psychol. Rev. </w:t>
      </w:r>
      <w:r w:rsidRPr="008B4D4B">
        <w:rPr>
          <w:rFonts w:ascii="Didot" w:hAnsi="Didot" w:cs="Didot"/>
          <w:noProof/>
          <w:sz w:val="22"/>
          <w:szCs w:val="22"/>
          <w:lang w:val="en-GB"/>
        </w:rPr>
        <w:t>1993;100(4):674-701.</w:t>
      </w:r>
    </w:p>
    <w:p w14:paraId="3F46846C"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8.</w:t>
      </w:r>
      <w:r w:rsidRPr="008B4D4B">
        <w:rPr>
          <w:rFonts w:ascii="Didot" w:hAnsi="Didot" w:cs="Didot"/>
          <w:noProof/>
          <w:sz w:val="22"/>
          <w:szCs w:val="22"/>
          <w:lang w:val="en-GB"/>
        </w:rPr>
        <w:tab/>
        <w:t xml:space="preserve">Canino G, Polanczyk G, Bauermeister J, Rohde L, Frick P. Does the prevalence of CD and ODD vary across cultures? </w:t>
      </w:r>
      <w:r w:rsidRPr="008B4D4B">
        <w:rPr>
          <w:rFonts w:ascii="Didot" w:hAnsi="Didot" w:cs="Didot"/>
          <w:i/>
          <w:noProof/>
          <w:sz w:val="22"/>
          <w:szCs w:val="22"/>
          <w:lang w:val="en-GB"/>
        </w:rPr>
        <w:t xml:space="preserve">Soc. Psychiatry Psychiatr. Epidemiol. </w:t>
      </w:r>
      <w:r w:rsidRPr="008B4D4B">
        <w:rPr>
          <w:rFonts w:ascii="Didot" w:hAnsi="Didot" w:cs="Didot"/>
          <w:noProof/>
          <w:sz w:val="22"/>
          <w:szCs w:val="22"/>
          <w:lang w:val="en-GB"/>
        </w:rPr>
        <w:t>2010;45(7):695-704.</w:t>
      </w:r>
    </w:p>
    <w:p w14:paraId="0F52F9A1"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9.</w:t>
      </w:r>
      <w:r w:rsidRPr="008B4D4B">
        <w:rPr>
          <w:rFonts w:ascii="Didot" w:hAnsi="Didot" w:cs="Didot"/>
          <w:noProof/>
          <w:sz w:val="22"/>
          <w:szCs w:val="22"/>
          <w:lang w:val="en-GB"/>
        </w:rPr>
        <w:tab/>
        <w:t xml:space="preserve">Polanczyk G, de Lima MS, Horta BL, Biederman J, Rohde LA. The Worldwide Prevalence of ADHD: A Systematic Review and Metaregression Analysis. </w:t>
      </w:r>
      <w:r w:rsidRPr="008B4D4B">
        <w:rPr>
          <w:rFonts w:ascii="Didot" w:hAnsi="Didot" w:cs="Didot"/>
          <w:i/>
          <w:noProof/>
          <w:sz w:val="22"/>
          <w:szCs w:val="22"/>
          <w:lang w:val="en-GB"/>
        </w:rPr>
        <w:t xml:space="preserve">Am. J. Psychiatry. </w:t>
      </w:r>
      <w:r w:rsidRPr="008B4D4B">
        <w:rPr>
          <w:rFonts w:ascii="Didot" w:hAnsi="Didot" w:cs="Didot"/>
          <w:noProof/>
          <w:sz w:val="22"/>
          <w:szCs w:val="22"/>
          <w:lang w:val="en-GB"/>
        </w:rPr>
        <w:t>June 1, 2007 2007;164(6):942-948.</w:t>
      </w:r>
    </w:p>
    <w:p w14:paraId="7D3F5985" w14:textId="77777777" w:rsidR="00DC462C" w:rsidRPr="008B4D4B" w:rsidRDefault="00DC462C" w:rsidP="008A7E29">
      <w:pPr>
        <w:ind w:left="720" w:hanging="720"/>
        <w:jc w:val="both"/>
        <w:rPr>
          <w:rFonts w:ascii="Didot" w:hAnsi="Didot" w:cs="Didot"/>
          <w:noProof/>
          <w:sz w:val="22"/>
          <w:szCs w:val="22"/>
          <w:lang w:val="en-GB"/>
        </w:rPr>
      </w:pPr>
      <w:r w:rsidRPr="008B4D4B">
        <w:rPr>
          <w:rFonts w:ascii="Didot" w:hAnsi="Didot" w:cs="Didot"/>
          <w:noProof/>
          <w:sz w:val="22"/>
          <w:szCs w:val="22"/>
          <w:lang w:val="en-GB"/>
        </w:rPr>
        <w:t>10.</w:t>
      </w:r>
      <w:r w:rsidRPr="008B4D4B">
        <w:rPr>
          <w:rFonts w:ascii="Didot" w:hAnsi="Didot" w:cs="Didot"/>
          <w:noProof/>
          <w:sz w:val="22"/>
          <w:szCs w:val="22"/>
          <w:lang w:val="en-GB"/>
        </w:rPr>
        <w:tab/>
        <w:t xml:space="preserve">Murray J, Cerqueira DRdC, Kahn T. Crime and violence in Brazil: Systematic review of time trends, prevalence rates and risk factors. </w:t>
      </w:r>
      <w:r w:rsidRPr="008B4D4B">
        <w:rPr>
          <w:rFonts w:ascii="Didot" w:hAnsi="Didot" w:cs="Didot"/>
          <w:i/>
          <w:noProof/>
          <w:sz w:val="22"/>
          <w:szCs w:val="22"/>
          <w:lang w:val="en-GB"/>
        </w:rPr>
        <w:t xml:space="preserve">Aggression and Violent Behavior. </w:t>
      </w:r>
      <w:r w:rsidRPr="008B4D4B">
        <w:rPr>
          <w:rFonts w:ascii="Didot" w:hAnsi="Didot" w:cs="Didot"/>
          <w:noProof/>
          <w:sz w:val="22"/>
          <w:szCs w:val="22"/>
          <w:lang w:val="en-GB"/>
        </w:rPr>
        <w:t>2013;18(5):471-483.</w:t>
      </w:r>
    </w:p>
    <w:p w14:paraId="025A40D3" w14:textId="77777777" w:rsidR="00160E26" w:rsidRPr="008B4D4B" w:rsidRDefault="00160E26" w:rsidP="008A7E29">
      <w:pPr>
        <w:widowControl w:val="0"/>
        <w:autoSpaceDE w:val="0"/>
        <w:autoSpaceDN w:val="0"/>
        <w:adjustRightInd w:val="0"/>
        <w:spacing w:after="240"/>
        <w:jc w:val="both"/>
        <w:rPr>
          <w:rFonts w:ascii="Didot" w:hAnsi="Didot" w:cs="Didot"/>
          <w:color w:val="121212"/>
          <w:sz w:val="22"/>
          <w:szCs w:val="22"/>
          <w:lang w:val="en-US"/>
        </w:rPr>
        <w:sectPr w:rsidR="00160E26" w:rsidRPr="008B4D4B" w:rsidSect="00160E26">
          <w:type w:val="continuous"/>
          <w:pgSz w:w="12240" w:h="15840" w:code="1"/>
          <w:pgMar w:top="1380" w:right="1680" w:bottom="280" w:left="1520" w:header="720" w:footer="720" w:gutter="0"/>
          <w:cols w:space="720"/>
          <w:docGrid w:linePitch="299"/>
        </w:sectPr>
      </w:pPr>
    </w:p>
    <w:p w14:paraId="5B759BB8" w14:textId="77777777" w:rsidR="00362AAD" w:rsidRPr="008B4D4B" w:rsidRDefault="00362AAD" w:rsidP="008A7E29">
      <w:pPr>
        <w:widowControl w:val="0"/>
        <w:autoSpaceDE w:val="0"/>
        <w:autoSpaceDN w:val="0"/>
        <w:adjustRightInd w:val="0"/>
        <w:spacing w:after="240"/>
        <w:jc w:val="both"/>
        <w:rPr>
          <w:rFonts w:ascii="Didot" w:hAnsi="Didot" w:cs="Didot"/>
          <w:b/>
          <w:color w:val="121212"/>
          <w:sz w:val="22"/>
          <w:szCs w:val="22"/>
          <w:lang w:val="en-US"/>
        </w:rPr>
      </w:pPr>
    </w:p>
    <w:p w14:paraId="49E3BD1C" w14:textId="77777777" w:rsidR="004F6BB2" w:rsidRPr="006916FC" w:rsidRDefault="004F6BB2" w:rsidP="008A7E29">
      <w:pPr>
        <w:widowControl w:val="0"/>
        <w:pBdr>
          <w:bottom w:val="single" w:sz="6" w:space="1" w:color="auto"/>
        </w:pBdr>
        <w:autoSpaceDE w:val="0"/>
        <w:autoSpaceDN w:val="0"/>
        <w:adjustRightInd w:val="0"/>
        <w:spacing w:after="240"/>
        <w:jc w:val="both"/>
        <w:rPr>
          <w:rFonts w:ascii="Didot" w:hAnsi="Didot" w:cs="Didot"/>
          <w:b/>
          <w:color w:val="121212"/>
          <w:sz w:val="28"/>
          <w:szCs w:val="28"/>
          <w:lang w:val="en-US"/>
        </w:rPr>
      </w:pPr>
    </w:p>
    <w:p w14:paraId="40DAAECB" w14:textId="77777777" w:rsidR="000D6A2E" w:rsidRPr="006916FC" w:rsidRDefault="000D6A2E" w:rsidP="008A7E29">
      <w:pPr>
        <w:pStyle w:val="Heading2"/>
        <w:jc w:val="both"/>
        <w:rPr>
          <w:rFonts w:ascii="Didot" w:hAnsi="Didot" w:cs="Didot"/>
          <w:color w:val="auto"/>
          <w:sz w:val="34"/>
          <w:szCs w:val="34"/>
        </w:rPr>
      </w:pPr>
      <w:bookmarkStart w:id="25" w:name="_Toc272639895"/>
      <w:bookmarkStart w:id="26" w:name="_Toc272645018"/>
      <w:r w:rsidRPr="006916FC">
        <w:rPr>
          <w:rFonts w:ascii="Didot" w:hAnsi="Didot" w:cs="Didot"/>
          <w:color w:val="auto"/>
          <w:sz w:val="34"/>
          <w:szCs w:val="34"/>
        </w:rPr>
        <w:t>Arturo Cervantes</w:t>
      </w:r>
      <w:bookmarkEnd w:id="25"/>
      <w:bookmarkEnd w:id="26"/>
      <w:r w:rsidRPr="006916FC">
        <w:rPr>
          <w:rFonts w:ascii="Didot" w:hAnsi="Didot" w:cs="Didot"/>
          <w:color w:val="auto"/>
          <w:sz w:val="34"/>
          <w:szCs w:val="34"/>
        </w:rPr>
        <w:t xml:space="preserve"> </w:t>
      </w:r>
    </w:p>
    <w:p w14:paraId="4FC1F3C6" w14:textId="77777777" w:rsidR="00C33C84" w:rsidRPr="006916FC" w:rsidRDefault="00C33C84" w:rsidP="008A7E29">
      <w:pPr>
        <w:widowControl w:val="0"/>
        <w:autoSpaceDE w:val="0"/>
        <w:autoSpaceDN w:val="0"/>
        <w:adjustRightInd w:val="0"/>
        <w:spacing w:after="240"/>
        <w:jc w:val="both"/>
        <w:rPr>
          <w:rFonts w:ascii="Didot" w:hAnsi="Didot" w:cs="Didot"/>
          <w:b/>
          <w:color w:val="121212"/>
          <w:lang w:val="en-US"/>
        </w:rPr>
      </w:pPr>
    </w:p>
    <w:p w14:paraId="2070707F" w14:textId="77777777" w:rsidR="00362AAD" w:rsidRPr="006916FC" w:rsidRDefault="000D6A2E"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Biography</w:t>
      </w:r>
    </w:p>
    <w:p w14:paraId="14988E4F" w14:textId="77777777" w:rsidR="000D6A2E" w:rsidRPr="008B4D4B" w:rsidRDefault="000D6A2E" w:rsidP="008A7E29">
      <w:pPr>
        <w:widowControl w:val="0"/>
        <w:autoSpaceDE w:val="0"/>
        <w:autoSpaceDN w:val="0"/>
        <w:adjustRightInd w:val="0"/>
        <w:spacing w:after="240"/>
        <w:jc w:val="both"/>
        <w:rPr>
          <w:rFonts w:ascii="Didot" w:hAnsi="Didot" w:cs="Didot"/>
          <w:b/>
          <w:color w:val="121212"/>
          <w:sz w:val="22"/>
          <w:szCs w:val="22"/>
          <w:lang w:val="en-US"/>
        </w:rPr>
      </w:pPr>
      <w:r w:rsidRPr="008B4D4B">
        <w:rPr>
          <w:rFonts w:ascii="Didot" w:hAnsi="Didot" w:cs="Didot"/>
          <w:color w:val="121212"/>
          <w:sz w:val="22"/>
          <w:szCs w:val="22"/>
          <w:lang w:val="en-US"/>
        </w:rPr>
        <w:t>Arturo Cervantes is Carlos Peralta Chair of Public Health at the Faculty of Health Sciences, Anahuac University Mexico, from 2014 appointed General Director of Information Systems for the National Institute for Educational Evaluation (INEE).</w:t>
      </w:r>
    </w:p>
    <w:p w14:paraId="3B981BD4"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From 2007 – 2013 he served as Technical Secretary of the National Council for Injury Prevention and General Director of the National Center for Injury Prevention, Mexican Ministry of Health. He is co-author of the Mexican National Program for Road Safety 2007 </w:t>
      </w:r>
      <w:r w:rsidRPr="008B4D4B">
        <w:rPr>
          <w:rFonts w:ascii="Didot" w:hAnsi="Didot" w:cs="Didot"/>
          <w:color w:val="121212"/>
          <w:sz w:val="22"/>
          <w:szCs w:val="22"/>
          <w:lang w:val="en-US"/>
        </w:rPr>
        <w:lastRenderedPageBreak/>
        <w:t>– 2012 and the National Road Safety Strategy 2011 – 2020.</w:t>
      </w:r>
    </w:p>
    <w:p w14:paraId="55707785"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He obtained his Medical degree at the National Autonomous University of Mexico and both a Masters and a Doctorate degree in public health from Harvard University. He is board certified by the National Council of Public Health in Mexico and member of the charter class of the National Board of Public Health Examiners in the United States.</w:t>
      </w:r>
    </w:p>
    <w:p w14:paraId="56A60B8C" w14:textId="77777777" w:rsidR="004F6BB2" w:rsidRPr="008B4D4B" w:rsidRDefault="000D6A2E"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Since 2009 he is member of the Institute of Medicine's Forum on Global Violence Prevention, National Academies of Science, United States. He participated in the regional expert committee for the "Global report on violence and health", World Health Organization, and </w:t>
      </w:r>
      <w:proofErr w:type="gramStart"/>
      <w:r w:rsidRPr="008B4D4B">
        <w:rPr>
          <w:rFonts w:ascii="Didot" w:hAnsi="Didot" w:cs="Didot"/>
          <w:color w:val="121212"/>
          <w:sz w:val="22"/>
          <w:szCs w:val="22"/>
          <w:lang w:val="en-US"/>
        </w:rPr>
        <w:t>from  2007</w:t>
      </w:r>
      <w:proofErr w:type="gramEnd"/>
      <w:r w:rsidRPr="008B4D4B">
        <w:rPr>
          <w:rFonts w:ascii="Didot" w:hAnsi="Didot" w:cs="Didot"/>
          <w:color w:val="121212"/>
          <w:sz w:val="22"/>
          <w:szCs w:val="22"/>
          <w:lang w:val="en-US"/>
        </w:rPr>
        <w:t xml:space="preserve"> – 2013 he represented Mexico´s Ministry of Health in the Violence Prevention Alliance, Global Campaign for Violence Prevention, WHO, Geneva.</w:t>
      </w:r>
    </w:p>
    <w:p w14:paraId="3B15D8B8" w14:textId="77777777" w:rsidR="00487EBC" w:rsidRPr="006916FC" w:rsidRDefault="00487EBC" w:rsidP="008A7E29">
      <w:pPr>
        <w:widowControl w:val="0"/>
        <w:pBdr>
          <w:bottom w:val="single" w:sz="6" w:space="1" w:color="auto"/>
        </w:pBdr>
        <w:autoSpaceDE w:val="0"/>
        <w:autoSpaceDN w:val="0"/>
        <w:adjustRightInd w:val="0"/>
        <w:spacing w:after="240"/>
        <w:jc w:val="both"/>
        <w:rPr>
          <w:rFonts w:ascii="Didot" w:hAnsi="Didot" w:cs="Didot"/>
          <w:color w:val="121212"/>
          <w:lang w:val="en-US"/>
        </w:rPr>
      </w:pPr>
    </w:p>
    <w:p w14:paraId="18ABE9D0" w14:textId="50F7DE95" w:rsidR="00160E26" w:rsidRPr="006916FC" w:rsidRDefault="00B552DA" w:rsidP="008A7E29">
      <w:pPr>
        <w:spacing w:before="3"/>
        <w:ind w:left="1435" w:right="-20" w:hanging="1335"/>
        <w:jc w:val="both"/>
        <w:rPr>
          <w:rFonts w:ascii="Didot" w:eastAsia="Arial" w:hAnsi="Didot" w:cs="Didot"/>
          <w:b/>
          <w:bCs/>
          <w:spacing w:val="1"/>
          <w:position w:val="-1"/>
          <w:sz w:val="28"/>
          <w:szCs w:val="28"/>
        </w:rPr>
        <w:sectPr w:rsidR="00160E26" w:rsidRPr="006916FC" w:rsidSect="003D6AB9">
          <w:type w:val="continuous"/>
          <w:pgSz w:w="12240" w:h="15840" w:code="1"/>
          <w:pgMar w:top="1380" w:right="1680" w:bottom="280" w:left="1520" w:header="720" w:footer="720" w:gutter="0"/>
          <w:cols w:space="720"/>
          <w:docGrid w:linePitch="299"/>
        </w:sectPr>
      </w:pPr>
      <w:r w:rsidRPr="006916FC">
        <w:rPr>
          <w:rFonts w:ascii="Didot" w:eastAsia="Times New Roman" w:hAnsi="Didot" w:cs="Didot"/>
          <w:color w:val="222222"/>
          <w:sz w:val="20"/>
          <w:szCs w:val="20"/>
          <w:lang w:eastAsia="es-MX"/>
        </w:rPr>
        <w:br/>
      </w:r>
    </w:p>
    <w:p w14:paraId="16357E59" w14:textId="77777777" w:rsidR="00B552DA" w:rsidRPr="006916FC" w:rsidRDefault="00B552DA" w:rsidP="008A7E29">
      <w:pPr>
        <w:ind w:right="301"/>
        <w:jc w:val="both"/>
        <w:rPr>
          <w:rFonts w:ascii="Didot" w:eastAsia="Arial" w:hAnsi="Didot" w:cs="Didot"/>
          <w:b/>
          <w:bCs/>
          <w:spacing w:val="1"/>
          <w:position w:val="-1"/>
        </w:rPr>
      </w:pPr>
      <w:r w:rsidRPr="006916FC">
        <w:rPr>
          <w:rFonts w:ascii="Didot" w:eastAsia="Arial" w:hAnsi="Didot" w:cs="Didot"/>
          <w:b/>
          <w:bCs/>
          <w:spacing w:val="1"/>
          <w:position w:val="-1"/>
        </w:rPr>
        <w:lastRenderedPageBreak/>
        <w:t>Abs</w:t>
      </w:r>
      <w:r w:rsidRPr="006916FC">
        <w:rPr>
          <w:rFonts w:ascii="Didot" w:eastAsia="Arial" w:hAnsi="Didot" w:cs="Didot"/>
          <w:b/>
          <w:bCs/>
          <w:position w:val="-1"/>
        </w:rPr>
        <w:t>t</w:t>
      </w:r>
      <w:r w:rsidRPr="006916FC">
        <w:rPr>
          <w:rFonts w:ascii="Didot" w:eastAsia="Arial" w:hAnsi="Didot" w:cs="Didot"/>
          <w:b/>
          <w:bCs/>
          <w:spacing w:val="1"/>
          <w:position w:val="-1"/>
        </w:rPr>
        <w:t>rac</w:t>
      </w:r>
      <w:r w:rsidRPr="006916FC">
        <w:rPr>
          <w:rFonts w:ascii="Didot" w:eastAsia="Arial" w:hAnsi="Didot" w:cs="Didot"/>
          <w:b/>
          <w:bCs/>
          <w:position w:val="-1"/>
        </w:rPr>
        <w:t>t</w:t>
      </w:r>
      <w:r w:rsidRPr="006916FC">
        <w:rPr>
          <w:rFonts w:ascii="Didot" w:eastAsia="Arial" w:hAnsi="Didot" w:cs="Didot"/>
          <w:b/>
          <w:bCs/>
          <w:spacing w:val="-11"/>
          <w:position w:val="-1"/>
        </w:rPr>
        <w:t xml:space="preserve"> </w:t>
      </w:r>
    </w:p>
    <w:p w14:paraId="1D3CCF23" w14:textId="77777777" w:rsidR="00B552DA" w:rsidRPr="006916FC" w:rsidRDefault="00B552DA" w:rsidP="008A7E29">
      <w:pPr>
        <w:ind w:left="105" w:right="301"/>
        <w:jc w:val="both"/>
        <w:rPr>
          <w:rFonts w:ascii="Didot" w:eastAsia="Arial" w:hAnsi="Didot" w:cs="Didot"/>
          <w:b/>
          <w:bCs/>
          <w:spacing w:val="1"/>
          <w:position w:val="-1"/>
          <w:sz w:val="22"/>
          <w:szCs w:val="22"/>
        </w:rPr>
      </w:pPr>
    </w:p>
    <w:p w14:paraId="0450B387" w14:textId="2703F811" w:rsidR="00EE46BD" w:rsidRPr="006916FC" w:rsidRDefault="00EE46BD" w:rsidP="008A7E29">
      <w:pPr>
        <w:ind w:right="1985"/>
        <w:jc w:val="both"/>
        <w:rPr>
          <w:rFonts w:ascii="Didot" w:eastAsia="Arial" w:hAnsi="Didot" w:cs="Didot"/>
          <w:b/>
          <w:bCs/>
          <w:spacing w:val="1"/>
          <w:position w:val="-1"/>
        </w:rPr>
      </w:pPr>
      <w:r w:rsidRPr="006916FC">
        <w:rPr>
          <w:rFonts w:ascii="Didot" w:eastAsia="Arial" w:hAnsi="Didot" w:cs="Didot"/>
          <w:b/>
          <w:bCs/>
          <w:spacing w:val="1"/>
          <w:position w:val="-1"/>
        </w:rPr>
        <w:t>Challenges and Opportunities for Large Scale Violence Prevention Efforts in Mexico</w:t>
      </w:r>
    </w:p>
    <w:p w14:paraId="6E7A4B61" w14:textId="0517FCFA" w:rsidR="00EE46BD" w:rsidRPr="006916FC" w:rsidRDefault="00EE46BD" w:rsidP="008A7E29">
      <w:pPr>
        <w:ind w:left="105" w:right="301"/>
        <w:jc w:val="both"/>
        <w:rPr>
          <w:rFonts w:ascii="Didot" w:eastAsia="Arial" w:hAnsi="Didot" w:cs="Didot"/>
          <w:b/>
          <w:bCs/>
          <w:spacing w:val="1"/>
          <w:position w:val="-1"/>
          <w:sz w:val="22"/>
          <w:szCs w:val="22"/>
        </w:rPr>
      </w:pPr>
    </w:p>
    <w:p w14:paraId="64AABCC0" w14:textId="77777777" w:rsidR="00EE46BD" w:rsidRPr="006916FC" w:rsidRDefault="00EE46BD" w:rsidP="008A7E29">
      <w:pPr>
        <w:ind w:left="105" w:right="301"/>
        <w:jc w:val="both"/>
        <w:rPr>
          <w:rFonts w:ascii="Didot" w:eastAsia="Arial" w:hAnsi="Didot" w:cs="Didot"/>
          <w:b/>
          <w:bCs/>
          <w:spacing w:val="1"/>
          <w:position w:val="-1"/>
          <w:sz w:val="22"/>
          <w:szCs w:val="22"/>
        </w:rPr>
      </w:pPr>
    </w:p>
    <w:p w14:paraId="40E32B09"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1"/>
          <w:sz w:val="22"/>
          <w:szCs w:val="22"/>
        </w:rPr>
        <w:t>This</w:t>
      </w:r>
      <w:r w:rsidRPr="008B4D4B">
        <w:rPr>
          <w:rFonts w:ascii="Didot" w:eastAsia="Arial" w:hAnsi="Didot" w:cs="Didot"/>
          <w:spacing w:val="12"/>
          <w:sz w:val="22"/>
          <w:szCs w:val="22"/>
        </w:rPr>
        <w:t xml:space="preserve"> </w:t>
      </w:r>
      <w:r w:rsidRPr="008B4D4B">
        <w:rPr>
          <w:rFonts w:ascii="Didot" w:eastAsia="Arial" w:hAnsi="Didot" w:cs="Didot"/>
          <w:spacing w:val="1"/>
          <w:sz w:val="22"/>
          <w:szCs w:val="22"/>
        </w:rPr>
        <w:t xml:space="preserve">paper </w:t>
      </w:r>
      <w:r w:rsidRPr="008B4D4B">
        <w:rPr>
          <w:rFonts w:ascii="Didot" w:eastAsia="Arial" w:hAnsi="Didot" w:cs="Didot"/>
          <w:spacing w:val="3"/>
          <w:sz w:val="22"/>
          <w:szCs w:val="22"/>
        </w:rPr>
        <w:t>w</w:t>
      </w:r>
      <w:r w:rsidRPr="008B4D4B">
        <w:rPr>
          <w:rFonts w:ascii="Didot" w:eastAsia="Arial" w:hAnsi="Didot" w:cs="Didot"/>
          <w:spacing w:val="1"/>
          <w:sz w:val="22"/>
          <w:szCs w:val="22"/>
        </w:rPr>
        <w:t>il</w:t>
      </w:r>
      <w:r w:rsidRPr="008B4D4B">
        <w:rPr>
          <w:rFonts w:ascii="Didot" w:eastAsia="Arial" w:hAnsi="Didot" w:cs="Didot"/>
          <w:sz w:val="22"/>
          <w:szCs w:val="22"/>
        </w:rPr>
        <w:t>l</w:t>
      </w:r>
      <w:r w:rsidRPr="008B4D4B">
        <w:rPr>
          <w:rFonts w:ascii="Didot" w:eastAsia="Arial" w:hAnsi="Didot" w:cs="Didot"/>
          <w:spacing w:val="10"/>
          <w:sz w:val="22"/>
          <w:szCs w:val="22"/>
        </w:rPr>
        <w:t xml:space="preserve"> </w:t>
      </w:r>
      <w:r w:rsidRPr="008B4D4B">
        <w:rPr>
          <w:rFonts w:ascii="Didot" w:eastAsia="Arial" w:hAnsi="Didot" w:cs="Didot"/>
          <w:spacing w:val="2"/>
          <w:sz w:val="22"/>
          <w:szCs w:val="22"/>
        </w:rPr>
        <w:t>con</w:t>
      </w:r>
      <w:r w:rsidRPr="008B4D4B">
        <w:rPr>
          <w:rFonts w:ascii="Didot" w:eastAsia="Arial" w:hAnsi="Didot" w:cs="Didot"/>
          <w:spacing w:val="1"/>
          <w:sz w:val="22"/>
          <w:szCs w:val="22"/>
        </w:rPr>
        <w:t>tri</w:t>
      </w:r>
      <w:r w:rsidRPr="008B4D4B">
        <w:rPr>
          <w:rFonts w:ascii="Didot" w:eastAsia="Arial" w:hAnsi="Didot" w:cs="Didot"/>
          <w:spacing w:val="2"/>
          <w:sz w:val="22"/>
          <w:szCs w:val="22"/>
        </w:rPr>
        <w:t>bu</w:t>
      </w:r>
      <w:r w:rsidRPr="008B4D4B">
        <w:rPr>
          <w:rFonts w:ascii="Didot" w:eastAsia="Arial" w:hAnsi="Didot" w:cs="Didot"/>
          <w:spacing w:val="1"/>
          <w:sz w:val="22"/>
          <w:szCs w:val="22"/>
        </w:rPr>
        <w:t>t</w:t>
      </w:r>
      <w:r w:rsidRPr="008B4D4B">
        <w:rPr>
          <w:rFonts w:ascii="Didot" w:eastAsia="Arial" w:hAnsi="Didot" w:cs="Didot"/>
          <w:sz w:val="22"/>
          <w:szCs w:val="22"/>
        </w:rPr>
        <w:t xml:space="preserve">e </w:t>
      </w:r>
      <w:r w:rsidRPr="008B4D4B">
        <w:rPr>
          <w:rFonts w:ascii="Didot" w:eastAsia="Arial" w:hAnsi="Didot" w:cs="Didot"/>
          <w:spacing w:val="1"/>
          <w:sz w:val="22"/>
          <w:szCs w:val="22"/>
        </w:rPr>
        <w:t>t</w:t>
      </w:r>
      <w:r w:rsidRPr="008B4D4B">
        <w:rPr>
          <w:rFonts w:ascii="Didot" w:eastAsia="Arial" w:hAnsi="Didot" w:cs="Didot"/>
          <w:sz w:val="22"/>
          <w:szCs w:val="22"/>
        </w:rPr>
        <w:t>o</w:t>
      </w:r>
      <w:r w:rsidRPr="008B4D4B">
        <w:rPr>
          <w:rFonts w:ascii="Didot" w:eastAsia="Arial" w:hAnsi="Didot" w:cs="Didot"/>
          <w:spacing w:val="8"/>
          <w:sz w:val="22"/>
          <w:szCs w:val="22"/>
        </w:rPr>
        <w:t xml:space="preserve"> </w:t>
      </w:r>
      <w:r w:rsidRPr="008B4D4B">
        <w:rPr>
          <w:rFonts w:ascii="Didot" w:eastAsia="Arial" w:hAnsi="Didot" w:cs="Didot"/>
          <w:spacing w:val="1"/>
          <w:sz w:val="22"/>
          <w:szCs w:val="22"/>
        </w:rPr>
        <w:t>t</w:t>
      </w:r>
      <w:r w:rsidRPr="008B4D4B">
        <w:rPr>
          <w:rFonts w:ascii="Didot" w:eastAsia="Arial" w:hAnsi="Didot" w:cs="Didot"/>
          <w:spacing w:val="2"/>
          <w:sz w:val="22"/>
          <w:szCs w:val="22"/>
        </w:rPr>
        <w:t>h</w:t>
      </w:r>
      <w:r w:rsidRPr="008B4D4B">
        <w:rPr>
          <w:rFonts w:ascii="Didot" w:eastAsia="Arial" w:hAnsi="Didot" w:cs="Didot"/>
          <w:sz w:val="22"/>
          <w:szCs w:val="22"/>
        </w:rPr>
        <w:t>e</w:t>
      </w:r>
      <w:r w:rsidRPr="008B4D4B">
        <w:rPr>
          <w:rFonts w:ascii="Didot" w:eastAsia="Arial" w:hAnsi="Didot" w:cs="Didot"/>
          <w:spacing w:val="11"/>
          <w:sz w:val="22"/>
          <w:szCs w:val="22"/>
        </w:rPr>
        <w:t xml:space="preserve"> </w:t>
      </w:r>
      <w:r w:rsidRPr="008B4D4B">
        <w:rPr>
          <w:rFonts w:ascii="Didot" w:eastAsia="Arial" w:hAnsi="Didot" w:cs="Didot"/>
          <w:spacing w:val="2"/>
          <w:sz w:val="22"/>
          <w:szCs w:val="22"/>
        </w:rPr>
        <w:t>ove</w:t>
      </w:r>
      <w:r w:rsidRPr="008B4D4B">
        <w:rPr>
          <w:rFonts w:ascii="Didot" w:eastAsia="Arial" w:hAnsi="Didot" w:cs="Didot"/>
          <w:spacing w:val="1"/>
          <w:sz w:val="22"/>
          <w:szCs w:val="22"/>
        </w:rPr>
        <w:t>r</w:t>
      </w:r>
      <w:r w:rsidRPr="008B4D4B">
        <w:rPr>
          <w:rFonts w:ascii="Didot" w:eastAsia="Arial" w:hAnsi="Didot" w:cs="Didot"/>
          <w:spacing w:val="2"/>
          <w:sz w:val="22"/>
          <w:szCs w:val="22"/>
        </w:rPr>
        <w:t>a</w:t>
      </w:r>
      <w:r w:rsidRPr="008B4D4B">
        <w:rPr>
          <w:rFonts w:ascii="Didot" w:eastAsia="Arial" w:hAnsi="Didot" w:cs="Didot"/>
          <w:spacing w:val="1"/>
          <w:sz w:val="22"/>
          <w:szCs w:val="22"/>
        </w:rPr>
        <w:t>l</w:t>
      </w:r>
      <w:r w:rsidRPr="008B4D4B">
        <w:rPr>
          <w:rFonts w:ascii="Didot" w:eastAsia="Arial" w:hAnsi="Didot" w:cs="Didot"/>
          <w:sz w:val="22"/>
          <w:szCs w:val="22"/>
        </w:rPr>
        <w:t>l</w:t>
      </w:r>
      <w:r w:rsidRPr="008B4D4B">
        <w:rPr>
          <w:rFonts w:ascii="Didot" w:eastAsia="Arial" w:hAnsi="Didot" w:cs="Didot"/>
          <w:spacing w:val="16"/>
          <w:sz w:val="22"/>
          <w:szCs w:val="22"/>
        </w:rPr>
        <w:t xml:space="preserve"> </w:t>
      </w:r>
      <w:r w:rsidRPr="008B4D4B">
        <w:rPr>
          <w:rFonts w:ascii="Didot" w:eastAsia="Arial" w:hAnsi="Didot" w:cs="Didot"/>
          <w:spacing w:val="1"/>
          <w:sz w:val="22"/>
          <w:szCs w:val="22"/>
        </w:rPr>
        <w:t>t</w:t>
      </w:r>
      <w:r w:rsidRPr="008B4D4B">
        <w:rPr>
          <w:rFonts w:ascii="Didot" w:eastAsia="Arial" w:hAnsi="Didot" w:cs="Didot"/>
          <w:spacing w:val="2"/>
          <w:sz w:val="22"/>
          <w:szCs w:val="22"/>
        </w:rPr>
        <w:t>he</w:t>
      </w:r>
      <w:r w:rsidRPr="008B4D4B">
        <w:rPr>
          <w:rFonts w:ascii="Didot" w:eastAsia="Arial" w:hAnsi="Didot" w:cs="Didot"/>
          <w:spacing w:val="4"/>
          <w:sz w:val="22"/>
          <w:szCs w:val="22"/>
        </w:rPr>
        <w:t>m</w:t>
      </w:r>
      <w:r w:rsidRPr="008B4D4B">
        <w:rPr>
          <w:rFonts w:ascii="Didot" w:eastAsia="Arial" w:hAnsi="Didot" w:cs="Didot"/>
          <w:sz w:val="22"/>
          <w:szCs w:val="22"/>
        </w:rPr>
        <w:t>e</w:t>
      </w:r>
      <w:r w:rsidRPr="008B4D4B">
        <w:rPr>
          <w:rFonts w:ascii="Didot" w:eastAsia="Arial" w:hAnsi="Didot" w:cs="Didot"/>
          <w:spacing w:val="17"/>
          <w:sz w:val="22"/>
          <w:szCs w:val="22"/>
        </w:rPr>
        <w:t xml:space="preserve"> </w:t>
      </w:r>
      <w:r w:rsidRPr="008B4D4B">
        <w:rPr>
          <w:rFonts w:ascii="Didot" w:eastAsia="Arial" w:hAnsi="Didot" w:cs="Didot"/>
          <w:spacing w:val="2"/>
          <w:sz w:val="22"/>
          <w:szCs w:val="22"/>
        </w:rPr>
        <w:t>o</w:t>
      </w:r>
      <w:r w:rsidRPr="008B4D4B">
        <w:rPr>
          <w:rFonts w:ascii="Didot" w:eastAsia="Arial" w:hAnsi="Didot" w:cs="Didot"/>
          <w:sz w:val="22"/>
          <w:szCs w:val="22"/>
        </w:rPr>
        <w:t>f</w:t>
      </w:r>
      <w:r w:rsidRPr="008B4D4B">
        <w:rPr>
          <w:rFonts w:ascii="Didot" w:eastAsia="Arial" w:hAnsi="Didot" w:cs="Didot"/>
          <w:spacing w:val="7"/>
          <w:sz w:val="22"/>
          <w:szCs w:val="22"/>
        </w:rPr>
        <w:t xml:space="preserve"> </w:t>
      </w:r>
      <w:r w:rsidRPr="008B4D4B">
        <w:rPr>
          <w:rFonts w:ascii="Didot" w:eastAsia="Arial" w:hAnsi="Didot" w:cs="Didot"/>
          <w:spacing w:val="1"/>
          <w:sz w:val="22"/>
          <w:szCs w:val="22"/>
        </w:rPr>
        <w:t>t</w:t>
      </w:r>
      <w:r w:rsidRPr="008B4D4B">
        <w:rPr>
          <w:rFonts w:ascii="Didot" w:eastAsia="Arial" w:hAnsi="Didot" w:cs="Didot"/>
          <w:spacing w:val="2"/>
          <w:sz w:val="22"/>
          <w:szCs w:val="22"/>
        </w:rPr>
        <w:t>h</w:t>
      </w:r>
      <w:r w:rsidRPr="008B4D4B">
        <w:rPr>
          <w:rFonts w:ascii="Didot" w:eastAsia="Arial" w:hAnsi="Didot" w:cs="Didot"/>
          <w:sz w:val="22"/>
          <w:szCs w:val="22"/>
        </w:rPr>
        <w:t>e</w:t>
      </w:r>
      <w:r w:rsidRPr="008B4D4B">
        <w:rPr>
          <w:rFonts w:ascii="Didot" w:eastAsia="Arial" w:hAnsi="Didot" w:cs="Didot"/>
          <w:spacing w:val="11"/>
          <w:sz w:val="22"/>
          <w:szCs w:val="22"/>
        </w:rPr>
        <w:t xml:space="preserve"> </w:t>
      </w:r>
      <w:r w:rsidRPr="008B4D4B">
        <w:rPr>
          <w:rFonts w:ascii="Didot" w:eastAsia="Arial" w:hAnsi="Didot" w:cs="Didot"/>
          <w:spacing w:val="2"/>
          <w:sz w:val="22"/>
          <w:szCs w:val="22"/>
        </w:rPr>
        <w:t>con</w:t>
      </w:r>
      <w:r w:rsidRPr="008B4D4B">
        <w:rPr>
          <w:rFonts w:ascii="Didot" w:eastAsia="Arial" w:hAnsi="Didot" w:cs="Didot"/>
          <w:spacing w:val="1"/>
          <w:sz w:val="22"/>
          <w:szCs w:val="22"/>
        </w:rPr>
        <w:t>f</w:t>
      </w:r>
      <w:r w:rsidRPr="008B4D4B">
        <w:rPr>
          <w:rFonts w:ascii="Didot" w:eastAsia="Arial" w:hAnsi="Didot" w:cs="Didot"/>
          <w:spacing w:val="2"/>
          <w:sz w:val="22"/>
          <w:szCs w:val="22"/>
        </w:rPr>
        <w:t>e</w:t>
      </w:r>
      <w:r w:rsidRPr="008B4D4B">
        <w:rPr>
          <w:rFonts w:ascii="Didot" w:eastAsia="Arial" w:hAnsi="Didot" w:cs="Didot"/>
          <w:spacing w:val="1"/>
          <w:sz w:val="22"/>
          <w:szCs w:val="22"/>
        </w:rPr>
        <w:t>r</w:t>
      </w:r>
      <w:r w:rsidRPr="008B4D4B">
        <w:rPr>
          <w:rFonts w:ascii="Didot" w:eastAsia="Arial" w:hAnsi="Didot" w:cs="Didot"/>
          <w:spacing w:val="2"/>
          <w:sz w:val="22"/>
          <w:szCs w:val="22"/>
        </w:rPr>
        <w:t>enc</w:t>
      </w:r>
      <w:r w:rsidRPr="008B4D4B">
        <w:rPr>
          <w:rFonts w:ascii="Didot" w:eastAsia="Arial" w:hAnsi="Didot" w:cs="Didot"/>
          <w:sz w:val="22"/>
          <w:szCs w:val="22"/>
        </w:rPr>
        <w:t>e</w:t>
      </w:r>
      <w:r w:rsidRPr="008B4D4B">
        <w:rPr>
          <w:rFonts w:ascii="Didot" w:eastAsia="Arial" w:hAnsi="Didot" w:cs="Didot"/>
          <w:spacing w:val="26"/>
          <w:sz w:val="22"/>
          <w:szCs w:val="22"/>
        </w:rPr>
        <w:t xml:space="preserve"> </w:t>
      </w:r>
      <w:r w:rsidRPr="008B4D4B">
        <w:rPr>
          <w:rFonts w:ascii="Didot" w:eastAsia="Arial" w:hAnsi="Didot" w:cs="Didot"/>
          <w:spacing w:val="1"/>
          <w:sz w:val="22"/>
          <w:szCs w:val="22"/>
        </w:rPr>
        <w:t>“</w:t>
      </w:r>
      <w:r w:rsidRPr="008B4D4B">
        <w:rPr>
          <w:rFonts w:ascii="Didot" w:eastAsia="Arial" w:hAnsi="Didot" w:cs="Didot"/>
          <w:spacing w:val="3"/>
          <w:sz w:val="22"/>
          <w:szCs w:val="22"/>
        </w:rPr>
        <w:t>H</w:t>
      </w:r>
      <w:r w:rsidRPr="008B4D4B">
        <w:rPr>
          <w:rFonts w:ascii="Didot" w:eastAsia="Arial" w:hAnsi="Didot" w:cs="Didot"/>
          <w:spacing w:val="2"/>
          <w:sz w:val="22"/>
          <w:szCs w:val="22"/>
        </w:rPr>
        <w:t>o</w:t>
      </w:r>
      <w:r w:rsidRPr="008B4D4B">
        <w:rPr>
          <w:rFonts w:ascii="Didot" w:eastAsia="Arial" w:hAnsi="Didot" w:cs="Didot"/>
          <w:sz w:val="22"/>
          <w:szCs w:val="22"/>
        </w:rPr>
        <w:t>w</w:t>
      </w:r>
      <w:r w:rsidRPr="008B4D4B">
        <w:rPr>
          <w:rFonts w:ascii="Didot" w:eastAsia="Arial" w:hAnsi="Didot" w:cs="Didot"/>
          <w:spacing w:val="16"/>
          <w:sz w:val="22"/>
          <w:szCs w:val="22"/>
        </w:rPr>
        <w:t xml:space="preserve"> </w:t>
      </w:r>
      <w:r w:rsidRPr="008B4D4B">
        <w:rPr>
          <w:rFonts w:ascii="Didot" w:eastAsia="Arial" w:hAnsi="Didot" w:cs="Didot"/>
          <w:spacing w:val="1"/>
          <w:sz w:val="22"/>
          <w:szCs w:val="22"/>
        </w:rPr>
        <w:t>t</w:t>
      </w:r>
      <w:r w:rsidRPr="008B4D4B">
        <w:rPr>
          <w:rFonts w:ascii="Didot" w:eastAsia="Arial" w:hAnsi="Didot" w:cs="Didot"/>
          <w:sz w:val="22"/>
          <w:szCs w:val="22"/>
        </w:rPr>
        <w:t>o</w:t>
      </w:r>
      <w:r w:rsidRPr="008B4D4B">
        <w:rPr>
          <w:rFonts w:ascii="Didot" w:eastAsia="Arial" w:hAnsi="Didot" w:cs="Didot"/>
          <w:spacing w:val="8"/>
          <w:sz w:val="22"/>
          <w:szCs w:val="22"/>
        </w:rPr>
        <w:t xml:space="preserve"> </w:t>
      </w:r>
      <w:r w:rsidRPr="008B4D4B">
        <w:rPr>
          <w:rFonts w:ascii="Didot" w:eastAsia="Arial" w:hAnsi="Didot" w:cs="Didot"/>
          <w:spacing w:val="3"/>
          <w:w w:val="102"/>
          <w:sz w:val="22"/>
          <w:szCs w:val="22"/>
        </w:rPr>
        <w:t>R</w:t>
      </w:r>
      <w:r w:rsidRPr="008B4D4B">
        <w:rPr>
          <w:rFonts w:ascii="Didot" w:eastAsia="Arial" w:hAnsi="Didot" w:cs="Didot"/>
          <w:spacing w:val="2"/>
          <w:w w:val="102"/>
          <w:sz w:val="22"/>
          <w:szCs w:val="22"/>
        </w:rPr>
        <w:t xml:space="preserve">educe </w:t>
      </w:r>
      <w:r w:rsidRPr="008B4D4B">
        <w:rPr>
          <w:rFonts w:ascii="Didot" w:eastAsia="Arial" w:hAnsi="Didot" w:cs="Didot"/>
          <w:spacing w:val="3"/>
          <w:sz w:val="22"/>
          <w:szCs w:val="22"/>
        </w:rPr>
        <w:t>V</w:t>
      </w:r>
      <w:r w:rsidRPr="008B4D4B">
        <w:rPr>
          <w:rFonts w:ascii="Didot" w:eastAsia="Arial" w:hAnsi="Didot" w:cs="Didot"/>
          <w:spacing w:val="1"/>
          <w:sz w:val="22"/>
          <w:szCs w:val="22"/>
        </w:rPr>
        <w:t>i</w:t>
      </w:r>
      <w:r w:rsidRPr="008B4D4B">
        <w:rPr>
          <w:rFonts w:ascii="Didot" w:eastAsia="Arial" w:hAnsi="Didot" w:cs="Didot"/>
          <w:spacing w:val="2"/>
          <w:sz w:val="22"/>
          <w:szCs w:val="22"/>
        </w:rPr>
        <w:t>o</w:t>
      </w:r>
      <w:r w:rsidRPr="008B4D4B">
        <w:rPr>
          <w:rFonts w:ascii="Didot" w:eastAsia="Arial" w:hAnsi="Didot" w:cs="Didot"/>
          <w:spacing w:val="1"/>
          <w:sz w:val="22"/>
          <w:szCs w:val="22"/>
        </w:rPr>
        <w:t>l</w:t>
      </w:r>
      <w:r w:rsidRPr="008B4D4B">
        <w:rPr>
          <w:rFonts w:ascii="Didot" w:eastAsia="Arial" w:hAnsi="Didot" w:cs="Didot"/>
          <w:spacing w:val="2"/>
          <w:sz w:val="22"/>
          <w:szCs w:val="22"/>
        </w:rPr>
        <w:t>enc</w:t>
      </w:r>
      <w:r w:rsidRPr="008B4D4B">
        <w:rPr>
          <w:rFonts w:ascii="Didot" w:eastAsia="Arial" w:hAnsi="Didot" w:cs="Didot"/>
          <w:sz w:val="22"/>
          <w:szCs w:val="22"/>
        </w:rPr>
        <w:t>e</w:t>
      </w:r>
      <w:r w:rsidRPr="008B4D4B">
        <w:rPr>
          <w:rFonts w:ascii="Didot" w:eastAsia="Arial" w:hAnsi="Didot" w:cs="Didot"/>
          <w:spacing w:val="21"/>
          <w:sz w:val="22"/>
          <w:szCs w:val="22"/>
        </w:rPr>
        <w:t xml:space="preserve"> </w:t>
      </w:r>
      <w:r w:rsidRPr="008B4D4B">
        <w:rPr>
          <w:rFonts w:ascii="Didot" w:eastAsia="Arial" w:hAnsi="Didot" w:cs="Didot"/>
          <w:spacing w:val="2"/>
          <w:sz w:val="22"/>
          <w:szCs w:val="22"/>
        </w:rPr>
        <w:t>b</w:t>
      </w:r>
      <w:r w:rsidRPr="008B4D4B">
        <w:rPr>
          <w:rFonts w:ascii="Didot" w:eastAsia="Arial" w:hAnsi="Didot" w:cs="Didot"/>
          <w:sz w:val="22"/>
          <w:szCs w:val="22"/>
        </w:rPr>
        <w:t>y</w:t>
      </w:r>
      <w:r w:rsidRPr="008B4D4B">
        <w:rPr>
          <w:rFonts w:ascii="Didot" w:eastAsia="Arial" w:hAnsi="Didot" w:cs="Didot"/>
          <w:spacing w:val="9"/>
          <w:sz w:val="22"/>
          <w:szCs w:val="22"/>
        </w:rPr>
        <w:t xml:space="preserve"> </w:t>
      </w:r>
      <w:proofErr w:type="gramStart"/>
      <w:r w:rsidRPr="008B4D4B">
        <w:rPr>
          <w:rFonts w:ascii="Didot" w:eastAsia="Arial" w:hAnsi="Didot" w:cs="Didot"/>
          <w:spacing w:val="2"/>
          <w:sz w:val="22"/>
          <w:szCs w:val="22"/>
        </w:rPr>
        <w:t>50</w:t>
      </w:r>
      <w:r w:rsidRPr="008B4D4B">
        <w:rPr>
          <w:rFonts w:ascii="Didot" w:eastAsia="Arial" w:hAnsi="Didot" w:cs="Didot"/>
          <w:sz w:val="22"/>
          <w:szCs w:val="22"/>
        </w:rPr>
        <w:t>%</w:t>
      </w:r>
      <w:proofErr w:type="gramEnd"/>
      <w:r w:rsidRPr="008B4D4B">
        <w:rPr>
          <w:rFonts w:ascii="Didot" w:eastAsia="Arial" w:hAnsi="Didot" w:cs="Didot"/>
          <w:spacing w:val="14"/>
          <w:sz w:val="22"/>
          <w:szCs w:val="22"/>
        </w:rPr>
        <w:t xml:space="preserve"> </w:t>
      </w:r>
      <w:r w:rsidRPr="008B4D4B">
        <w:rPr>
          <w:rFonts w:ascii="Didot" w:eastAsia="Arial" w:hAnsi="Didot" w:cs="Didot"/>
          <w:spacing w:val="1"/>
          <w:sz w:val="22"/>
          <w:szCs w:val="22"/>
        </w:rPr>
        <w:t>i</w:t>
      </w:r>
      <w:r w:rsidRPr="008B4D4B">
        <w:rPr>
          <w:rFonts w:ascii="Didot" w:eastAsia="Arial" w:hAnsi="Didot" w:cs="Didot"/>
          <w:sz w:val="22"/>
          <w:szCs w:val="22"/>
        </w:rPr>
        <w:t>n</w:t>
      </w:r>
      <w:r w:rsidRPr="008B4D4B">
        <w:rPr>
          <w:rFonts w:ascii="Didot" w:eastAsia="Arial" w:hAnsi="Didot" w:cs="Didot"/>
          <w:spacing w:val="8"/>
          <w:sz w:val="22"/>
          <w:szCs w:val="22"/>
        </w:rPr>
        <w:t xml:space="preserve"> </w:t>
      </w:r>
      <w:r w:rsidRPr="008B4D4B">
        <w:rPr>
          <w:rFonts w:ascii="Didot" w:eastAsia="Arial" w:hAnsi="Didot" w:cs="Didot"/>
          <w:spacing w:val="1"/>
          <w:sz w:val="22"/>
          <w:szCs w:val="22"/>
        </w:rPr>
        <w:t>t</w:t>
      </w:r>
      <w:r w:rsidRPr="008B4D4B">
        <w:rPr>
          <w:rFonts w:ascii="Didot" w:eastAsia="Arial" w:hAnsi="Didot" w:cs="Didot"/>
          <w:spacing w:val="2"/>
          <w:sz w:val="22"/>
          <w:szCs w:val="22"/>
        </w:rPr>
        <w:t>h</w:t>
      </w:r>
      <w:r w:rsidRPr="008B4D4B">
        <w:rPr>
          <w:rFonts w:ascii="Didot" w:eastAsia="Arial" w:hAnsi="Didot" w:cs="Didot"/>
          <w:sz w:val="22"/>
          <w:szCs w:val="22"/>
        </w:rPr>
        <w:t>e</w:t>
      </w:r>
      <w:r w:rsidRPr="008B4D4B">
        <w:rPr>
          <w:rFonts w:ascii="Didot" w:eastAsia="Arial" w:hAnsi="Didot" w:cs="Didot"/>
          <w:spacing w:val="11"/>
          <w:sz w:val="22"/>
          <w:szCs w:val="22"/>
        </w:rPr>
        <w:t xml:space="preserve"> </w:t>
      </w:r>
      <w:r w:rsidRPr="008B4D4B">
        <w:rPr>
          <w:rFonts w:ascii="Didot" w:eastAsia="Arial" w:hAnsi="Didot" w:cs="Didot"/>
          <w:spacing w:val="2"/>
          <w:sz w:val="22"/>
          <w:szCs w:val="22"/>
        </w:rPr>
        <w:t>nex</w:t>
      </w:r>
      <w:r w:rsidRPr="008B4D4B">
        <w:rPr>
          <w:rFonts w:ascii="Didot" w:eastAsia="Arial" w:hAnsi="Didot" w:cs="Didot"/>
          <w:sz w:val="22"/>
          <w:szCs w:val="22"/>
        </w:rPr>
        <w:t>t</w:t>
      </w:r>
      <w:r w:rsidRPr="008B4D4B">
        <w:rPr>
          <w:rFonts w:ascii="Didot" w:eastAsia="Arial" w:hAnsi="Didot" w:cs="Didot"/>
          <w:spacing w:val="12"/>
          <w:sz w:val="22"/>
          <w:szCs w:val="22"/>
        </w:rPr>
        <w:t xml:space="preserve"> </w:t>
      </w:r>
      <w:r w:rsidRPr="008B4D4B">
        <w:rPr>
          <w:rFonts w:ascii="Didot" w:eastAsia="Arial" w:hAnsi="Didot" w:cs="Didot"/>
          <w:spacing w:val="2"/>
          <w:sz w:val="22"/>
          <w:szCs w:val="22"/>
        </w:rPr>
        <w:t>3</w:t>
      </w:r>
      <w:r w:rsidRPr="008B4D4B">
        <w:rPr>
          <w:rFonts w:ascii="Didot" w:eastAsia="Arial" w:hAnsi="Didot" w:cs="Didot"/>
          <w:sz w:val="22"/>
          <w:szCs w:val="22"/>
        </w:rPr>
        <w:t>0</w:t>
      </w:r>
      <w:r w:rsidRPr="008B4D4B">
        <w:rPr>
          <w:rFonts w:ascii="Didot" w:eastAsia="Arial" w:hAnsi="Didot" w:cs="Didot"/>
          <w:spacing w:val="10"/>
          <w:sz w:val="22"/>
          <w:szCs w:val="22"/>
        </w:rPr>
        <w:t xml:space="preserve"> </w:t>
      </w:r>
      <w:r w:rsidRPr="008B4D4B">
        <w:rPr>
          <w:rFonts w:ascii="Didot" w:eastAsia="Arial" w:hAnsi="Didot" w:cs="Didot"/>
          <w:spacing w:val="2"/>
          <w:sz w:val="22"/>
          <w:szCs w:val="22"/>
        </w:rPr>
        <w:t>yea</w:t>
      </w:r>
      <w:r w:rsidRPr="008B4D4B">
        <w:rPr>
          <w:rFonts w:ascii="Didot" w:eastAsia="Arial" w:hAnsi="Didot" w:cs="Didot"/>
          <w:spacing w:val="1"/>
          <w:sz w:val="22"/>
          <w:szCs w:val="22"/>
        </w:rPr>
        <w:t>r</w:t>
      </w:r>
      <w:r w:rsidRPr="008B4D4B">
        <w:rPr>
          <w:rFonts w:ascii="Didot" w:eastAsia="Arial" w:hAnsi="Didot" w:cs="Didot"/>
          <w:spacing w:val="2"/>
          <w:sz w:val="22"/>
          <w:szCs w:val="22"/>
        </w:rPr>
        <w:t>s</w:t>
      </w:r>
      <w:r w:rsidRPr="008B4D4B">
        <w:rPr>
          <w:rFonts w:ascii="Didot" w:eastAsia="Arial" w:hAnsi="Didot" w:cs="Didot"/>
          <w:spacing w:val="1"/>
          <w:sz w:val="22"/>
          <w:szCs w:val="22"/>
        </w:rPr>
        <w:t xml:space="preserve">” in two ways: First; based on official mortality information from 1998 – 2012, we present an overview of the epidemiology of homicide and suicide across the country, including time trends, age and gender specific rates, and geographic distribution. Second; based on implementation challenges faced by current violence and delinquency prevention efforts at National, State and Municipal levels, key recommendations for </w:t>
      </w:r>
      <w:r w:rsidRPr="008B4D4B">
        <w:rPr>
          <w:rFonts w:ascii="Didot" w:eastAsia="Arial" w:hAnsi="Didot" w:cs="Didot"/>
          <w:spacing w:val="2"/>
          <w:w w:val="102"/>
          <w:sz w:val="22"/>
          <w:szCs w:val="22"/>
        </w:rPr>
        <w:t>po</w:t>
      </w:r>
      <w:r w:rsidRPr="008B4D4B">
        <w:rPr>
          <w:rFonts w:ascii="Didot" w:eastAsia="Arial" w:hAnsi="Didot" w:cs="Didot"/>
          <w:spacing w:val="1"/>
          <w:w w:val="102"/>
          <w:sz w:val="22"/>
          <w:szCs w:val="22"/>
        </w:rPr>
        <w:t>li</w:t>
      </w:r>
      <w:r w:rsidRPr="008B4D4B">
        <w:rPr>
          <w:rFonts w:ascii="Didot" w:eastAsia="Arial" w:hAnsi="Didot" w:cs="Didot"/>
          <w:spacing w:val="2"/>
          <w:w w:val="102"/>
          <w:sz w:val="22"/>
          <w:szCs w:val="22"/>
        </w:rPr>
        <w:t>cy</w:t>
      </w:r>
      <w:r w:rsidRPr="008B4D4B">
        <w:rPr>
          <w:rFonts w:ascii="Didot" w:eastAsia="Arial" w:hAnsi="Didot" w:cs="Didot"/>
          <w:spacing w:val="1"/>
          <w:w w:val="102"/>
          <w:sz w:val="22"/>
          <w:szCs w:val="22"/>
        </w:rPr>
        <w:t>-</w:t>
      </w:r>
      <w:r w:rsidRPr="008B4D4B">
        <w:rPr>
          <w:rFonts w:ascii="Didot" w:eastAsia="Arial" w:hAnsi="Didot" w:cs="Didot"/>
          <w:spacing w:val="3"/>
          <w:w w:val="102"/>
          <w:sz w:val="22"/>
          <w:szCs w:val="22"/>
        </w:rPr>
        <w:t>m</w:t>
      </w:r>
      <w:r w:rsidRPr="008B4D4B">
        <w:rPr>
          <w:rFonts w:ascii="Didot" w:eastAsia="Arial" w:hAnsi="Didot" w:cs="Didot"/>
          <w:spacing w:val="2"/>
          <w:w w:val="102"/>
          <w:sz w:val="22"/>
          <w:szCs w:val="22"/>
        </w:rPr>
        <w:t>ake</w:t>
      </w:r>
      <w:r w:rsidRPr="008B4D4B">
        <w:rPr>
          <w:rFonts w:ascii="Didot" w:eastAsia="Arial" w:hAnsi="Didot" w:cs="Didot"/>
          <w:spacing w:val="1"/>
          <w:w w:val="102"/>
          <w:sz w:val="22"/>
          <w:szCs w:val="22"/>
        </w:rPr>
        <w:t>r</w:t>
      </w:r>
      <w:r w:rsidRPr="008B4D4B">
        <w:rPr>
          <w:rFonts w:ascii="Didot" w:eastAsia="Arial" w:hAnsi="Didot" w:cs="Didot"/>
          <w:spacing w:val="2"/>
          <w:w w:val="102"/>
          <w:sz w:val="22"/>
          <w:szCs w:val="22"/>
        </w:rPr>
        <w:t>s</w:t>
      </w:r>
      <w:r w:rsidRPr="008B4D4B">
        <w:rPr>
          <w:rFonts w:ascii="Didot" w:eastAsia="Arial" w:hAnsi="Didot" w:cs="Didot"/>
          <w:spacing w:val="1"/>
          <w:sz w:val="22"/>
          <w:szCs w:val="22"/>
        </w:rPr>
        <w:t xml:space="preserve"> are described, regarding key challenges and opportunities for violence and delinquency prevention </w:t>
      </w:r>
      <w:r w:rsidRPr="008B4D4B">
        <w:rPr>
          <w:rFonts w:ascii="Didot" w:eastAsia="Arial" w:hAnsi="Didot" w:cs="Didot"/>
          <w:spacing w:val="2"/>
          <w:w w:val="102"/>
          <w:sz w:val="22"/>
          <w:szCs w:val="22"/>
        </w:rPr>
        <w:t xml:space="preserve">program design and implementation. </w:t>
      </w:r>
    </w:p>
    <w:p w14:paraId="65F6D062" w14:textId="77777777" w:rsidR="00B552DA" w:rsidRPr="008B4D4B" w:rsidRDefault="00B552DA" w:rsidP="008A7E29">
      <w:pPr>
        <w:ind w:left="105" w:right="301"/>
        <w:jc w:val="both"/>
        <w:rPr>
          <w:rFonts w:ascii="Didot" w:eastAsia="Arial" w:hAnsi="Didot" w:cs="Didot"/>
          <w:spacing w:val="2"/>
          <w:w w:val="102"/>
          <w:sz w:val="22"/>
          <w:szCs w:val="22"/>
        </w:rPr>
      </w:pPr>
    </w:p>
    <w:p w14:paraId="48A530D1"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2"/>
          <w:w w:val="102"/>
          <w:sz w:val="22"/>
          <w:szCs w:val="22"/>
        </w:rPr>
        <w:t xml:space="preserve">Temporal and geographic trends in officially registered violence related deaths (216,462 homicides and 77,334 suicides) that have occurred between 1998 and 2012 on Mexican territory are presented. A strong increase in homicide has occurred starting in 2007 and in absolute terms, men between 20 and 49 years form the most vulnerable group, with an average homicide rate in 2012 of over 40 per 100,000. Suicide rates have also shown a steady increase over the 15 year period, specifically among females between 12 and 39 years and </w:t>
      </w:r>
      <w:proofErr w:type="gramStart"/>
      <w:r w:rsidRPr="008B4D4B">
        <w:rPr>
          <w:rFonts w:ascii="Didot" w:eastAsia="Arial" w:hAnsi="Didot" w:cs="Didot"/>
          <w:spacing w:val="2"/>
          <w:w w:val="102"/>
          <w:sz w:val="22"/>
          <w:szCs w:val="22"/>
        </w:rPr>
        <w:t>males</w:t>
      </w:r>
      <w:proofErr w:type="gramEnd"/>
      <w:r w:rsidRPr="008B4D4B">
        <w:rPr>
          <w:rFonts w:ascii="Didot" w:eastAsia="Arial" w:hAnsi="Didot" w:cs="Didot"/>
          <w:spacing w:val="2"/>
          <w:w w:val="102"/>
          <w:sz w:val="22"/>
          <w:szCs w:val="22"/>
        </w:rPr>
        <w:t xml:space="preserve"> between 12 and 49 years of age. Suicide rates in girls of 12 to 15 years old have almost triplicated while for boys in the same age group, the suicide rates have nearly duplicated in the 15 year time period.</w:t>
      </w:r>
    </w:p>
    <w:p w14:paraId="044EAD60" w14:textId="77777777" w:rsidR="00B552DA" w:rsidRPr="008B4D4B" w:rsidRDefault="00B552DA" w:rsidP="008A7E29">
      <w:pPr>
        <w:ind w:left="105" w:right="301"/>
        <w:jc w:val="both"/>
        <w:rPr>
          <w:rFonts w:ascii="Didot" w:eastAsia="Arial" w:hAnsi="Didot" w:cs="Didot"/>
          <w:spacing w:val="2"/>
          <w:w w:val="102"/>
          <w:sz w:val="22"/>
          <w:szCs w:val="22"/>
        </w:rPr>
      </w:pPr>
    </w:p>
    <w:p w14:paraId="595E017B"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2"/>
          <w:w w:val="102"/>
          <w:sz w:val="22"/>
          <w:szCs w:val="22"/>
        </w:rPr>
        <w:t xml:space="preserve">Starting in 2013, an unprecedented National Violence and Delinquency Prevention Program has been launched by the current federal government administration, targeting specific municipalities and neighborhoods with highest rates of crime and violence across the country. We discuss the program design and major </w:t>
      </w:r>
      <w:r w:rsidRPr="008B4D4B">
        <w:rPr>
          <w:rFonts w:ascii="Didot" w:eastAsia="Arial" w:hAnsi="Didot" w:cs="Didot"/>
          <w:spacing w:val="2"/>
          <w:w w:val="102"/>
          <w:sz w:val="22"/>
          <w:szCs w:val="22"/>
        </w:rPr>
        <w:lastRenderedPageBreak/>
        <w:t>components, as well as challenges faced by different sectors and levels of government in charge of implementing violence reduction strategies. We reflect about the use of scientific research for informing public policy and program design and discuss opportunities that exist in order to strengthen multi sectoral evidence-based violence prevention in Mexico.</w:t>
      </w:r>
    </w:p>
    <w:p w14:paraId="066BC213" w14:textId="77777777" w:rsidR="00160E26" w:rsidRPr="008B4D4B" w:rsidRDefault="00160E26" w:rsidP="008A7E29">
      <w:pPr>
        <w:shd w:val="clear" w:color="auto" w:fill="FFFFFF"/>
        <w:spacing w:after="240"/>
        <w:jc w:val="both"/>
        <w:rPr>
          <w:rFonts w:ascii="Didot" w:eastAsia="Times New Roman" w:hAnsi="Didot" w:cs="Didot"/>
          <w:color w:val="222222"/>
          <w:sz w:val="22"/>
          <w:szCs w:val="22"/>
          <w:lang w:eastAsia="es-MX"/>
        </w:rPr>
        <w:sectPr w:rsidR="00160E26" w:rsidRPr="008B4D4B" w:rsidSect="003D6AB9">
          <w:type w:val="continuous"/>
          <w:pgSz w:w="12240" w:h="15840" w:code="1"/>
          <w:pgMar w:top="1380" w:right="1680" w:bottom="280" w:left="1520" w:header="720" w:footer="720" w:gutter="0"/>
          <w:cols w:space="720"/>
          <w:docGrid w:linePitch="299"/>
        </w:sectPr>
      </w:pPr>
    </w:p>
    <w:p w14:paraId="6F010613" w14:textId="77777777" w:rsidR="00B552DA" w:rsidRPr="006916FC" w:rsidRDefault="00B552DA" w:rsidP="008A7E29">
      <w:pPr>
        <w:pBdr>
          <w:bottom w:val="single" w:sz="6" w:space="1" w:color="auto"/>
        </w:pBdr>
        <w:shd w:val="clear" w:color="auto" w:fill="FFFFFF"/>
        <w:spacing w:after="240"/>
        <w:jc w:val="both"/>
        <w:rPr>
          <w:rFonts w:ascii="Didot" w:eastAsia="Times New Roman" w:hAnsi="Didot" w:cs="Didot"/>
          <w:color w:val="222222"/>
          <w:lang w:eastAsia="es-MX"/>
        </w:rPr>
      </w:pPr>
    </w:p>
    <w:p w14:paraId="1553096E" w14:textId="77777777" w:rsidR="00160E26" w:rsidRPr="006916FC" w:rsidRDefault="00160E26" w:rsidP="008A7E29">
      <w:pPr>
        <w:ind w:right="301"/>
        <w:jc w:val="both"/>
        <w:rPr>
          <w:rFonts w:ascii="Didot" w:eastAsia="Arial" w:hAnsi="Didot" w:cs="Didot"/>
          <w:b/>
          <w:bCs/>
          <w:spacing w:val="1"/>
          <w:position w:val="-1"/>
          <w:sz w:val="28"/>
          <w:szCs w:val="28"/>
        </w:rPr>
        <w:sectPr w:rsidR="00160E26" w:rsidRPr="006916FC" w:rsidSect="003D6AB9">
          <w:type w:val="continuous"/>
          <w:pgSz w:w="12240" w:h="15840" w:code="1"/>
          <w:pgMar w:top="1380" w:right="1680" w:bottom="280" w:left="1520" w:header="720" w:footer="720" w:gutter="0"/>
          <w:cols w:space="720"/>
          <w:docGrid w:linePitch="299"/>
        </w:sectPr>
      </w:pPr>
    </w:p>
    <w:p w14:paraId="0EF5A26E" w14:textId="1CA640A9" w:rsidR="00B552DA" w:rsidRPr="006916FC" w:rsidRDefault="002B35BA" w:rsidP="008A7E29">
      <w:pPr>
        <w:ind w:right="301"/>
        <w:jc w:val="both"/>
        <w:rPr>
          <w:rFonts w:ascii="Didot" w:eastAsia="Arial" w:hAnsi="Didot" w:cs="Didot"/>
          <w:b/>
          <w:bCs/>
          <w:spacing w:val="1"/>
          <w:position w:val="-1"/>
        </w:rPr>
      </w:pPr>
      <w:r w:rsidRPr="006916FC">
        <w:rPr>
          <w:rFonts w:ascii="Didot" w:eastAsia="Arial" w:hAnsi="Didot" w:cs="Didot"/>
          <w:b/>
          <w:bCs/>
          <w:spacing w:val="1"/>
          <w:position w:val="-1"/>
        </w:rPr>
        <w:lastRenderedPageBreak/>
        <w:t>S</w:t>
      </w:r>
      <w:r w:rsidR="00B552DA" w:rsidRPr="006916FC">
        <w:rPr>
          <w:rFonts w:ascii="Didot" w:eastAsia="Arial" w:hAnsi="Didot" w:cs="Didot"/>
          <w:b/>
          <w:bCs/>
          <w:spacing w:val="1"/>
          <w:position w:val="-1"/>
        </w:rPr>
        <w:t>ummar</w:t>
      </w:r>
      <w:r w:rsidR="00B552DA" w:rsidRPr="006916FC">
        <w:rPr>
          <w:rFonts w:ascii="Didot" w:eastAsia="Arial" w:hAnsi="Didot" w:cs="Didot"/>
          <w:b/>
          <w:bCs/>
          <w:position w:val="-1"/>
        </w:rPr>
        <w:t>y</w:t>
      </w:r>
      <w:r w:rsidR="00B552DA" w:rsidRPr="006916FC">
        <w:rPr>
          <w:rFonts w:ascii="Didot" w:eastAsia="Arial" w:hAnsi="Didot" w:cs="Didot"/>
          <w:b/>
          <w:bCs/>
          <w:spacing w:val="-11"/>
          <w:position w:val="-1"/>
        </w:rPr>
        <w:t xml:space="preserve"> </w:t>
      </w:r>
    </w:p>
    <w:p w14:paraId="519F04D1" w14:textId="77777777" w:rsidR="003D6AB9" w:rsidRPr="006916FC" w:rsidRDefault="003D6AB9" w:rsidP="008A7E29">
      <w:pPr>
        <w:ind w:left="105" w:right="301"/>
        <w:jc w:val="both"/>
        <w:rPr>
          <w:rFonts w:ascii="Didot" w:eastAsia="Arial" w:hAnsi="Didot" w:cs="Didot"/>
          <w:b/>
          <w:bCs/>
          <w:spacing w:val="1"/>
          <w:position w:val="-1"/>
          <w:sz w:val="28"/>
          <w:szCs w:val="28"/>
        </w:rPr>
      </w:pPr>
    </w:p>
    <w:p w14:paraId="3EB76870" w14:textId="77777777" w:rsidR="003D6AB9" w:rsidRPr="006916FC" w:rsidRDefault="003D6AB9" w:rsidP="008A7E29">
      <w:pPr>
        <w:ind w:right="1985"/>
        <w:jc w:val="both"/>
        <w:rPr>
          <w:rFonts w:ascii="Didot" w:eastAsia="Arial" w:hAnsi="Didot" w:cs="Didot"/>
          <w:b/>
          <w:bCs/>
          <w:spacing w:val="1"/>
          <w:position w:val="-1"/>
        </w:rPr>
      </w:pPr>
      <w:r w:rsidRPr="006916FC">
        <w:rPr>
          <w:rFonts w:ascii="Didot" w:eastAsia="Arial" w:hAnsi="Didot" w:cs="Didot"/>
          <w:b/>
          <w:bCs/>
          <w:spacing w:val="1"/>
          <w:position w:val="-1"/>
        </w:rPr>
        <w:t>Challenges and Opportunities for Large Scale Violence Prevention Efforts in Mexico</w:t>
      </w:r>
    </w:p>
    <w:p w14:paraId="01268B37" w14:textId="77777777" w:rsidR="003D6AB9" w:rsidRPr="006916FC" w:rsidRDefault="003D6AB9" w:rsidP="008A7E29">
      <w:pPr>
        <w:ind w:right="301"/>
        <w:jc w:val="both"/>
        <w:rPr>
          <w:rFonts w:ascii="Didot" w:eastAsia="Arial" w:hAnsi="Didot" w:cs="Didot"/>
          <w:b/>
          <w:bCs/>
          <w:spacing w:val="1"/>
          <w:position w:val="-1"/>
          <w:sz w:val="28"/>
          <w:szCs w:val="28"/>
        </w:rPr>
      </w:pPr>
    </w:p>
    <w:p w14:paraId="00650133"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 xml:space="preserve">In 1996, the World Health </w:t>
      </w:r>
      <w:proofErr w:type="gramStart"/>
      <w:r w:rsidRPr="008B4D4B">
        <w:rPr>
          <w:rFonts w:ascii="Didot" w:eastAsia="Arial" w:hAnsi="Didot" w:cs="Didot"/>
          <w:spacing w:val="1"/>
          <w:sz w:val="22"/>
          <w:szCs w:val="22"/>
        </w:rPr>
        <w:t>Organization  defined</w:t>
      </w:r>
      <w:proofErr w:type="gramEnd"/>
      <w:r w:rsidRPr="008B4D4B">
        <w:rPr>
          <w:rFonts w:ascii="Didot" w:eastAsia="Arial" w:hAnsi="Didot" w:cs="Didot"/>
          <w:spacing w:val="1"/>
          <w:sz w:val="22"/>
          <w:szCs w:val="22"/>
        </w:rPr>
        <w:t xml:space="preserve"> violence as “the intentional use of physical force or power, threatened or actual, against oneself, another person, or against a group or community, which either results in or has a high likelihood of resulting in injury, death, psychological harm, maldevelopment or deprivation” (as cited in Dahlberg &amp; Krug, 2002, p. 5). Since the Forty-Ninth World Health Assembly [WHA] (1996) declared violence a major and growing global public health problem, many international efforts, such as the Global Burden of Disease study (Lozano et al., 2012; Murray et al., 2012), the World Report on Violence and Health (Krug, Dahlberg, Mercy, Zwi, &amp; Lozano, 2002) and the associated Global Campaign on Violence Prevention (Violence Prevention Alliance [</w:t>
      </w:r>
      <w:proofErr w:type="gramStart"/>
      <w:r w:rsidRPr="008B4D4B">
        <w:rPr>
          <w:rFonts w:ascii="Didot" w:eastAsia="Arial" w:hAnsi="Didot" w:cs="Didot"/>
          <w:spacing w:val="1"/>
          <w:sz w:val="22"/>
          <w:szCs w:val="22"/>
        </w:rPr>
        <w:t>VPA],2012</w:t>
      </w:r>
      <w:proofErr w:type="gramEnd"/>
      <w:r w:rsidRPr="008B4D4B">
        <w:rPr>
          <w:rFonts w:ascii="Didot" w:eastAsia="Arial" w:hAnsi="Didot" w:cs="Didot"/>
          <w:spacing w:val="1"/>
          <w:sz w:val="22"/>
          <w:szCs w:val="22"/>
        </w:rPr>
        <w:t>), have brought evidence-based violence prevention onto the public health agenda (see also, Rutherford, Zwi, Grove, &amp; Butchart, 2007a, 2007b).</w:t>
      </w:r>
    </w:p>
    <w:p w14:paraId="3DEBAD96" w14:textId="77777777" w:rsidR="00B552DA" w:rsidRPr="008B4D4B" w:rsidRDefault="00B552DA" w:rsidP="008A7E29">
      <w:pPr>
        <w:ind w:left="105" w:right="301"/>
        <w:jc w:val="both"/>
        <w:rPr>
          <w:rFonts w:ascii="Didot" w:eastAsia="Arial" w:hAnsi="Didot" w:cs="Didot"/>
          <w:spacing w:val="1"/>
          <w:sz w:val="22"/>
          <w:szCs w:val="22"/>
        </w:rPr>
      </w:pPr>
    </w:p>
    <w:p w14:paraId="156F25D8"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Every year in the world, an estimated 1.34 million violent deaths occur from intentional injury, of which around 880,000 are self-inflicted (i.e., suicides) and 460,000 are other-inflicted (i.e., homicides; Lozano et al., 2012). Worldwide, both homicide and suicide rank among the leading causes of death among those aged 15–44 years. Experts agree that deaths, injuries and disabilities due to violence are expected to increase in the world, especially in low- and middle-income countries (United Nations Office on Drugs and Crime [UNODC], 2014; VPA, 2012). Recent data show that Central America, together with Southern Africa, has the highest homicide rates in the world, reaching above 24 victims per 100,000 population in 2012, whereas the global, world-wide homicide rate amounted to 6.2 per 100,000; when considering the five global regions defined by the United Nations, homicides rates are highest in the Americas with 16.3 homicides per 100,000 as compared to 2.9 in Asia, 3.0 in Oceania and Europe, and 12.5 in Africa (UNODC, 2014). Conversely, suicide rates in the Americas with 7.9 per 100,000 are</w:t>
      </w:r>
      <w:proofErr w:type="gramStart"/>
      <w:r w:rsidRPr="008B4D4B">
        <w:rPr>
          <w:rFonts w:ascii="Didot" w:eastAsia="Arial" w:hAnsi="Didot" w:cs="Didot"/>
          <w:spacing w:val="1"/>
          <w:sz w:val="22"/>
          <w:szCs w:val="22"/>
        </w:rPr>
        <w:t>—</w:t>
      </w:r>
      <w:proofErr w:type="gramEnd"/>
      <w:r w:rsidRPr="008B4D4B">
        <w:rPr>
          <w:rFonts w:ascii="Didot" w:eastAsia="Arial" w:hAnsi="Didot" w:cs="Didot"/>
          <w:spacing w:val="1"/>
          <w:sz w:val="22"/>
          <w:szCs w:val="22"/>
        </w:rPr>
        <w:t>together  with Africa and the Eastern Mediterranean region—considerably lower as compared  to Europe, South-East Asia (which includes India), and the Western Pacific region (including China and Japan), where about 14 suicides occur per 100,000 population (Värnik, 2012).</w:t>
      </w:r>
    </w:p>
    <w:p w14:paraId="640B82DE" w14:textId="77777777" w:rsidR="00B552DA" w:rsidRPr="008B4D4B" w:rsidRDefault="00B552DA" w:rsidP="008A7E29">
      <w:pPr>
        <w:ind w:left="105" w:right="301"/>
        <w:jc w:val="both"/>
        <w:rPr>
          <w:rFonts w:ascii="Didot" w:eastAsia="Arial" w:hAnsi="Didot" w:cs="Didot"/>
          <w:spacing w:val="1"/>
          <w:sz w:val="22"/>
          <w:szCs w:val="22"/>
        </w:rPr>
      </w:pPr>
    </w:p>
    <w:p w14:paraId="28A86FB8"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 xml:space="preserve">In the last decade, mortality from violence, and particularly </w:t>
      </w:r>
      <w:proofErr w:type="gramStart"/>
      <w:r w:rsidRPr="008B4D4B">
        <w:rPr>
          <w:rFonts w:ascii="Didot" w:eastAsia="Arial" w:hAnsi="Didot" w:cs="Didot"/>
          <w:spacing w:val="1"/>
          <w:sz w:val="22"/>
          <w:szCs w:val="22"/>
        </w:rPr>
        <w:t>homicide,  has</w:t>
      </w:r>
      <w:proofErr w:type="gramEnd"/>
      <w:r w:rsidRPr="008B4D4B">
        <w:rPr>
          <w:rFonts w:ascii="Didot" w:eastAsia="Arial" w:hAnsi="Didot" w:cs="Didot"/>
          <w:spacing w:val="1"/>
          <w:sz w:val="22"/>
          <w:szCs w:val="22"/>
        </w:rPr>
        <w:t xml:space="preserve"> strongly increased in Mexico, which moved the country into the group of Latin American countries with highest rates of violence-related deaths (Gawryzewski,  Sanhueza, </w:t>
      </w:r>
      <w:r w:rsidRPr="008B4D4B">
        <w:rPr>
          <w:rFonts w:ascii="Didot" w:eastAsia="Arial" w:hAnsi="Didot" w:cs="Didot"/>
          <w:spacing w:val="1"/>
          <w:sz w:val="22"/>
          <w:szCs w:val="22"/>
        </w:rPr>
        <w:lastRenderedPageBreak/>
        <w:t>Martinez-Piedra, Escamilla, &amp; Marinho de Souza, 2012; UNODC, 2014). Although this increase has been amply documented and discussed in the popular as well as the academic press (Dube, Dube, &amp; García-Ponce, 2013; González-Pérez, Vega-López, Cabrera-</w:t>
      </w:r>
      <w:proofErr w:type="gramStart"/>
      <w:r w:rsidRPr="008B4D4B">
        <w:rPr>
          <w:rFonts w:ascii="Didot" w:eastAsia="Arial" w:hAnsi="Didot" w:cs="Didot"/>
          <w:spacing w:val="1"/>
          <w:sz w:val="22"/>
          <w:szCs w:val="22"/>
        </w:rPr>
        <w:t>Pivaral,  Vega</w:t>
      </w:r>
      <w:proofErr w:type="gramEnd"/>
      <w:r w:rsidRPr="008B4D4B">
        <w:rPr>
          <w:rFonts w:ascii="Didot" w:eastAsia="Arial" w:hAnsi="Didot" w:cs="Didot"/>
          <w:spacing w:val="1"/>
          <w:sz w:val="22"/>
          <w:szCs w:val="22"/>
        </w:rPr>
        <w:t>-López, &amp; Muñoz de la Torre, 2012; Hernández-Bringas  &amp; Flores-Arenales,  2011; Salama, 2013; Vilalta, 2013, 2014), the evolution over time has been studied  either globally or at the level of distressed areas or states. The present study examines the overall temporal pattern of change in homicides and suicides since 1998 in Mexico, segregated by gender and age groups, and how this temporal evolution spatially distributes at the aggregate level of municipalities. Findings are discussed in relation to existing literature on the psychological and sociological impact of living and growing up in a violence-stricken neighborhood. We conclude with some implications for policy-making.</w:t>
      </w:r>
    </w:p>
    <w:p w14:paraId="60D29CFD" w14:textId="77777777" w:rsidR="00B552DA" w:rsidRPr="008B4D4B" w:rsidRDefault="00B552DA" w:rsidP="008A7E29">
      <w:pPr>
        <w:ind w:left="105" w:right="301"/>
        <w:jc w:val="both"/>
        <w:rPr>
          <w:rFonts w:ascii="Didot" w:eastAsia="Arial" w:hAnsi="Didot" w:cs="Didot"/>
          <w:spacing w:val="1"/>
          <w:sz w:val="22"/>
          <w:szCs w:val="22"/>
        </w:rPr>
      </w:pPr>
    </w:p>
    <w:p w14:paraId="0ADD8A21"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Two sources of data were combined in the present project. Both sources are made available by Mexico’s National Institute of Statistics, Geography and Information (</w:t>
      </w:r>
      <w:proofErr w:type="gramStart"/>
      <w:r w:rsidRPr="008B4D4B">
        <w:rPr>
          <w:rFonts w:ascii="Didot" w:eastAsia="Arial" w:hAnsi="Didot" w:cs="Didot"/>
          <w:spacing w:val="1"/>
          <w:sz w:val="22"/>
          <w:szCs w:val="22"/>
        </w:rPr>
        <w:t>Instituto  Nacional</w:t>
      </w:r>
      <w:proofErr w:type="gramEnd"/>
      <w:r w:rsidRPr="008B4D4B">
        <w:rPr>
          <w:rFonts w:ascii="Didot" w:eastAsia="Arial" w:hAnsi="Didot" w:cs="Didot"/>
          <w:spacing w:val="1"/>
          <w:sz w:val="22"/>
          <w:szCs w:val="22"/>
        </w:rPr>
        <w:t xml:space="preserve"> de Estadística y Geografía [INEGI], n.d.). On the one hand, we downloaded population counts from the Mexican censuses in the years 2000, 2005, and 2010, separated for each of the 2,456 municipalities in the country and segregated by sex and for each year of age. These data were analyzed, separately for homicides and suicides and for each sex-age group, by means of multilevel logistic regression models (which belong to the family of hierarchical or mixed-effects generalized linear </w:t>
      </w:r>
      <w:proofErr w:type="gramStart"/>
      <w:r w:rsidRPr="008B4D4B">
        <w:rPr>
          <w:rFonts w:ascii="Didot" w:eastAsia="Arial" w:hAnsi="Didot" w:cs="Didot"/>
          <w:spacing w:val="1"/>
          <w:sz w:val="22"/>
          <w:szCs w:val="22"/>
        </w:rPr>
        <w:t>models;  see</w:t>
      </w:r>
      <w:proofErr w:type="gramEnd"/>
      <w:r w:rsidRPr="008B4D4B">
        <w:rPr>
          <w:rFonts w:ascii="Didot" w:eastAsia="Arial" w:hAnsi="Didot" w:cs="Didot"/>
          <w:spacing w:val="1"/>
          <w:sz w:val="22"/>
          <w:szCs w:val="22"/>
        </w:rPr>
        <w:t xml:space="preserve"> Snijders  &amp; Bosker, 2012, chap.17; Wong &amp; Mason, 1985). In view of the small numbers of suicides in the lowest age group (an average of 1.0 per </w:t>
      </w:r>
      <w:proofErr w:type="gramStart"/>
      <w:r w:rsidRPr="008B4D4B">
        <w:rPr>
          <w:rFonts w:ascii="Didot" w:eastAsia="Arial" w:hAnsi="Didot" w:cs="Didot"/>
          <w:spacing w:val="1"/>
          <w:sz w:val="22"/>
          <w:szCs w:val="22"/>
        </w:rPr>
        <w:t>1,000,000</w:t>
      </w:r>
      <w:proofErr w:type="gramEnd"/>
      <w:r w:rsidRPr="008B4D4B">
        <w:rPr>
          <w:rFonts w:ascii="Didot" w:eastAsia="Arial" w:hAnsi="Didot" w:cs="Didot"/>
          <w:spacing w:val="1"/>
          <w:sz w:val="22"/>
          <w:szCs w:val="22"/>
        </w:rPr>
        <w:t xml:space="preserve"> per year, boys and girls taken together) and some methodological issues in classifying child mortality as suicides (Crepeau-Hobson,  2010), we excluded children younger than 12 years of age from the analysis.</w:t>
      </w:r>
    </w:p>
    <w:p w14:paraId="7008BCE6" w14:textId="77777777" w:rsidR="00B552DA" w:rsidRPr="008B4D4B" w:rsidRDefault="00B552DA" w:rsidP="008A7E29">
      <w:pPr>
        <w:ind w:left="105" w:right="301"/>
        <w:jc w:val="both"/>
        <w:rPr>
          <w:rFonts w:ascii="Didot" w:eastAsia="Arial" w:hAnsi="Didot" w:cs="Didot"/>
          <w:spacing w:val="1"/>
          <w:sz w:val="22"/>
          <w:szCs w:val="22"/>
        </w:rPr>
      </w:pPr>
    </w:p>
    <w:p w14:paraId="1A43A424"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 xml:space="preserve">The accelerated increase of violence that has </w:t>
      </w:r>
      <w:proofErr w:type="gramStart"/>
      <w:r w:rsidRPr="008B4D4B">
        <w:rPr>
          <w:rFonts w:ascii="Didot" w:eastAsia="Arial" w:hAnsi="Didot" w:cs="Didot"/>
          <w:spacing w:val="1"/>
          <w:sz w:val="22"/>
          <w:szCs w:val="22"/>
        </w:rPr>
        <w:t>characterized  Mexico</w:t>
      </w:r>
      <w:proofErr w:type="gramEnd"/>
      <w:r w:rsidRPr="008B4D4B">
        <w:rPr>
          <w:rFonts w:ascii="Didot" w:eastAsia="Arial" w:hAnsi="Didot" w:cs="Didot"/>
          <w:spacing w:val="1"/>
          <w:sz w:val="22"/>
          <w:szCs w:val="22"/>
        </w:rPr>
        <w:t xml:space="preserve"> in the last decade has been amply discussed by the national as well as the international scientific community (Krug et al., 2002; Lozano et al., 2012). In line with other studies (Gawryzewski et al., 2012; González-Pérez, Vega-López, Cabrera-</w:t>
      </w:r>
      <w:proofErr w:type="gramStart"/>
      <w:r w:rsidRPr="008B4D4B">
        <w:rPr>
          <w:rFonts w:ascii="Didot" w:eastAsia="Arial" w:hAnsi="Didot" w:cs="Didot"/>
          <w:spacing w:val="1"/>
          <w:sz w:val="22"/>
          <w:szCs w:val="22"/>
        </w:rPr>
        <w:t>Pivaral,  Vega</w:t>
      </w:r>
      <w:proofErr w:type="gramEnd"/>
      <w:r w:rsidRPr="008B4D4B">
        <w:rPr>
          <w:rFonts w:ascii="Didot" w:eastAsia="Arial" w:hAnsi="Didot" w:cs="Didot"/>
          <w:spacing w:val="1"/>
          <w:sz w:val="22"/>
          <w:szCs w:val="22"/>
        </w:rPr>
        <w:t xml:space="preserve">-López, &amp; Muñoz de la Torre, 2012), we found an overall gradual decrease in the yearly homicide rates from the start of our study period in 1998 to 2007, followed by a strong increase leading to a triplication of the homicide rate in the period 2007–2012. Our differentiated approach highlighted that this overall evolution is not uniform across all sex and age groups. Indeed, the temporal evolution turned out to be fundamentally different for the younger and the older age groups as </w:t>
      </w:r>
      <w:proofErr w:type="gramStart"/>
      <w:r w:rsidRPr="008B4D4B">
        <w:rPr>
          <w:rFonts w:ascii="Didot" w:eastAsia="Arial" w:hAnsi="Didot" w:cs="Didot"/>
          <w:spacing w:val="1"/>
          <w:sz w:val="22"/>
          <w:szCs w:val="22"/>
        </w:rPr>
        <w:t>compared  to</w:t>
      </w:r>
      <w:proofErr w:type="gramEnd"/>
      <w:r w:rsidRPr="008B4D4B">
        <w:rPr>
          <w:rFonts w:ascii="Didot" w:eastAsia="Arial" w:hAnsi="Didot" w:cs="Didot"/>
          <w:spacing w:val="1"/>
          <w:sz w:val="22"/>
          <w:szCs w:val="22"/>
        </w:rPr>
        <w:t xml:space="preserve"> the “middle” age groups. The obtained results suggest that the apparent general increase of violence in Mexico primordially strikes women between 16 and 50 years and men between 16 and 60 years of age, while for young children and women above 50, the homicide rate has remained relatively constant over the study period. (For </w:t>
      </w:r>
      <w:proofErr w:type="gramStart"/>
      <w:r w:rsidRPr="008B4D4B">
        <w:rPr>
          <w:rFonts w:ascii="Didot" w:eastAsia="Arial" w:hAnsi="Didot" w:cs="Didot"/>
          <w:spacing w:val="1"/>
          <w:sz w:val="22"/>
          <w:szCs w:val="22"/>
        </w:rPr>
        <w:t>males</w:t>
      </w:r>
      <w:proofErr w:type="gramEnd"/>
      <w:r w:rsidRPr="008B4D4B">
        <w:rPr>
          <w:rFonts w:ascii="Didot" w:eastAsia="Arial" w:hAnsi="Didot" w:cs="Didot"/>
          <w:spacing w:val="1"/>
          <w:sz w:val="22"/>
          <w:szCs w:val="22"/>
        </w:rPr>
        <w:t xml:space="preserve"> between 12 and 15 years, and above 60, the evolutionary trend is somewhat mixed in that the increase since 2006/2007 is smaller than in the other age groups for men). In spite of the evolution being similar for women and men in the middle age groups, homicide rates are considerably higher in men from the age of 16 onwards.</w:t>
      </w:r>
    </w:p>
    <w:p w14:paraId="2FFCB1CD" w14:textId="77777777" w:rsidR="00B552DA" w:rsidRPr="008B4D4B" w:rsidRDefault="00B552DA" w:rsidP="008A7E29">
      <w:pPr>
        <w:ind w:left="105" w:right="301"/>
        <w:jc w:val="both"/>
        <w:rPr>
          <w:rFonts w:ascii="Didot" w:eastAsia="Arial" w:hAnsi="Didot" w:cs="Didot"/>
          <w:spacing w:val="1"/>
          <w:sz w:val="22"/>
          <w:szCs w:val="22"/>
        </w:rPr>
      </w:pPr>
    </w:p>
    <w:p w14:paraId="0C3DCC35"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 xml:space="preserve">Homicide rates and their evolution also strongly differ geographically and are found to be highest in areas traditionally related to drugs traffic and organized crime (in particular the border with the United States). Moreover, our results suggest that in urban, densely </w:t>
      </w:r>
      <w:proofErr w:type="gramStart"/>
      <w:r w:rsidRPr="008B4D4B">
        <w:rPr>
          <w:rFonts w:ascii="Didot" w:eastAsia="Arial" w:hAnsi="Didot" w:cs="Didot"/>
          <w:spacing w:val="1"/>
          <w:sz w:val="22"/>
          <w:szCs w:val="22"/>
        </w:rPr>
        <w:t>populated  areas</w:t>
      </w:r>
      <w:proofErr w:type="gramEnd"/>
      <w:r w:rsidRPr="008B4D4B">
        <w:rPr>
          <w:rFonts w:ascii="Didot" w:eastAsia="Arial" w:hAnsi="Didot" w:cs="Didot"/>
          <w:spacing w:val="1"/>
          <w:sz w:val="22"/>
          <w:szCs w:val="22"/>
        </w:rPr>
        <w:t xml:space="preserve"> homicide rates are higher than in rural, sparsely populated areas, which was also a significant factor in explaining the differences in homicide rates among Latin-American countries and cities in the study by Briceño-León, Villaveces, and</w:t>
      </w:r>
    </w:p>
    <w:p w14:paraId="39CFD2B7"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Concha-Eastman (2008). However, as pointed out by the latter authors, the degree of urbanization is likely to be entangled with other factors, including poverty and social inequality, which may be more strongly related to interpersonal violence. It would be interesting for a follow-up study to relate the homicide rates in Mexican municipalities with the well-known Gini index for income inequality (Ceriani &amp; Verme, 2012) and other indices summarizing the municipalities’ level of social welfare.</w:t>
      </w:r>
    </w:p>
    <w:p w14:paraId="74D37890" w14:textId="77777777" w:rsidR="00B552DA" w:rsidRPr="008B4D4B" w:rsidRDefault="00B552DA" w:rsidP="008A7E29">
      <w:pPr>
        <w:ind w:left="105" w:right="301"/>
        <w:jc w:val="both"/>
        <w:rPr>
          <w:rFonts w:ascii="Didot" w:eastAsia="Arial" w:hAnsi="Didot" w:cs="Didot"/>
          <w:spacing w:val="1"/>
          <w:sz w:val="22"/>
          <w:szCs w:val="22"/>
        </w:rPr>
      </w:pPr>
    </w:p>
    <w:p w14:paraId="6FC53474"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 xml:space="preserve">Our suicide results largely coincide with and extend those obtained by Hernández-Bringas and Flores-Arenales (2011). A steady increase of the suicide rates, accurately described by a linear function of time over the full study period, is found in women up to 39 years and men up to 49 years of age. Among these, the alarming increase in young adolescents (both </w:t>
      </w:r>
      <w:proofErr w:type="gramStart"/>
      <w:r w:rsidRPr="008B4D4B">
        <w:rPr>
          <w:rFonts w:ascii="Didot" w:eastAsia="Arial" w:hAnsi="Didot" w:cs="Didot"/>
          <w:spacing w:val="1"/>
          <w:sz w:val="22"/>
          <w:szCs w:val="22"/>
        </w:rPr>
        <w:t>males</w:t>
      </w:r>
      <w:proofErr w:type="gramEnd"/>
      <w:r w:rsidRPr="008B4D4B">
        <w:rPr>
          <w:rFonts w:ascii="Didot" w:eastAsia="Arial" w:hAnsi="Didot" w:cs="Didot"/>
          <w:spacing w:val="1"/>
          <w:sz w:val="22"/>
          <w:szCs w:val="22"/>
        </w:rPr>
        <w:t xml:space="preserve"> and females, between 12 and 15 years of age) warrants immediate attention. On the other hand, our results indicate that in the older age groups, the suicide rates have remained relatively constant. A study of Shah (2012) comparing the temporal trends in suicide rates across countries found that, although suicide rates world-wide increased more in older age groups, the pattern was opposite in developing countries, particularly with high income inequality and low per capita expenditure in health care. Furthermore, in line with a general difference in gender ratio (see, Schrijvers, Bollen, &amp; Sabbe, 2012), completed suicide was found to be more likely in </w:t>
      </w:r>
      <w:proofErr w:type="gramStart"/>
      <w:r w:rsidRPr="008B4D4B">
        <w:rPr>
          <w:rFonts w:ascii="Didot" w:eastAsia="Arial" w:hAnsi="Didot" w:cs="Didot"/>
          <w:spacing w:val="1"/>
          <w:sz w:val="22"/>
          <w:szCs w:val="22"/>
        </w:rPr>
        <w:t>males</w:t>
      </w:r>
      <w:proofErr w:type="gramEnd"/>
      <w:r w:rsidRPr="008B4D4B">
        <w:rPr>
          <w:rFonts w:ascii="Didot" w:eastAsia="Arial" w:hAnsi="Didot" w:cs="Didot"/>
          <w:spacing w:val="1"/>
          <w:sz w:val="22"/>
          <w:szCs w:val="22"/>
        </w:rPr>
        <w:t xml:space="preserve"> than in females (while the reverse is true for nonfatal suicide attempts), which is a gap that tends to increase further with age.</w:t>
      </w:r>
    </w:p>
    <w:p w14:paraId="7B7A47FD" w14:textId="77777777" w:rsidR="00B552DA" w:rsidRPr="008B4D4B" w:rsidRDefault="00B552DA" w:rsidP="008A7E29">
      <w:pPr>
        <w:ind w:left="105" w:right="301"/>
        <w:jc w:val="both"/>
        <w:rPr>
          <w:rFonts w:ascii="Didot" w:eastAsia="Arial" w:hAnsi="Didot" w:cs="Didot"/>
          <w:spacing w:val="1"/>
          <w:sz w:val="22"/>
          <w:szCs w:val="22"/>
        </w:rPr>
      </w:pPr>
    </w:p>
    <w:p w14:paraId="1D28ACDF"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This violence epidemic entails adverse effects in a wide range of the country’s developmental parameters. First, the direct impact on physical health can be quantified not only in number of deaths, but also in terms of life years lost, which according to estimates by the Institute for Health Metrics and Evaluation [IHME] (2013) amounts to</w:t>
      </w:r>
    </w:p>
    <w:p w14:paraId="3C7CB982"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1.27 million yearly due to the combination of self-inflicted and other-inflicted violence. In this respect, González-Pérez, Vega-López, and Cabrera-</w:t>
      </w:r>
      <w:proofErr w:type="gramStart"/>
      <w:r w:rsidRPr="008B4D4B">
        <w:rPr>
          <w:rFonts w:ascii="Didot" w:eastAsia="Arial" w:hAnsi="Didot" w:cs="Didot"/>
          <w:spacing w:val="1"/>
          <w:sz w:val="22"/>
          <w:szCs w:val="22"/>
        </w:rPr>
        <w:t>Pivaral  (2012</w:t>
      </w:r>
      <w:proofErr w:type="gramEnd"/>
      <w:r w:rsidRPr="008B4D4B">
        <w:rPr>
          <w:rFonts w:ascii="Didot" w:eastAsia="Arial" w:hAnsi="Didot" w:cs="Didot"/>
          <w:spacing w:val="1"/>
          <w:sz w:val="22"/>
          <w:szCs w:val="22"/>
        </w:rPr>
        <w:t>) argued that the increase in the rate of homicidal violence, especially among young people, explains why in Mexico, contrary to a worldwide trend, life expectancy in males fails to show an increase.</w:t>
      </w:r>
    </w:p>
    <w:p w14:paraId="17E5898B" w14:textId="77777777" w:rsidR="00B552DA" w:rsidRPr="008B4D4B" w:rsidRDefault="00B552DA" w:rsidP="008A7E29">
      <w:pPr>
        <w:ind w:left="105" w:right="301"/>
        <w:jc w:val="both"/>
        <w:rPr>
          <w:rFonts w:ascii="Didot" w:eastAsia="Arial" w:hAnsi="Didot" w:cs="Didot"/>
          <w:spacing w:val="1"/>
          <w:sz w:val="22"/>
          <w:szCs w:val="22"/>
        </w:rPr>
      </w:pPr>
    </w:p>
    <w:p w14:paraId="5BDA60C0"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 xml:space="preserve">Second, Krug et al. (2002) amply discussed the negative impacts of a violent context not only on physical but also on mental health. In particular, violence often leads to depressions, anxiety disorders, post-traumatic stress disorders, not only in the victims and their families, but also in the perpetrators. In this respect, it is interesting to see a </w:t>
      </w:r>
      <w:r w:rsidRPr="008B4D4B">
        <w:rPr>
          <w:rFonts w:ascii="Didot" w:eastAsia="Arial" w:hAnsi="Didot" w:cs="Didot"/>
          <w:spacing w:val="1"/>
          <w:sz w:val="22"/>
          <w:szCs w:val="22"/>
        </w:rPr>
        <w:lastRenderedPageBreak/>
        <w:t>significant positive correlation (r = .24, p &lt; .01)between the suicide rate in a municipality and its increase in homicide rate between 2007 and 2010; this in spite of a negative correlation between homicide and suicide in the Americas found by Bills and Li (2005) prior to the violence increase in Mexico. Moreover, in many cases these mental health problems translate to a wide range of problematic behaviors, including but not limited to drugs and alcohol abuse. In addition, the levels of stress experienced by communities in Mexico with higher levels of violence have been linked to lower academic performance among students (Magaloni, 2012). In the same vein, other studies have estimated the acute effect of exposure to local homicides on the general cognitive development of children suggesting the need for a broader recognition of the negative impact of extreme violent acts on children (even regardless of whether the violence is witnessed directly, Sharkey, 2010).</w:t>
      </w:r>
    </w:p>
    <w:p w14:paraId="63BE9BFC" w14:textId="77777777" w:rsidR="00B552DA" w:rsidRPr="008B4D4B" w:rsidRDefault="00B552DA" w:rsidP="008A7E29">
      <w:pPr>
        <w:ind w:left="105" w:right="301"/>
        <w:jc w:val="both"/>
        <w:rPr>
          <w:rFonts w:ascii="Didot" w:eastAsia="Arial" w:hAnsi="Didot" w:cs="Didot"/>
          <w:spacing w:val="1"/>
          <w:sz w:val="22"/>
          <w:szCs w:val="22"/>
        </w:rPr>
      </w:pPr>
    </w:p>
    <w:p w14:paraId="22730484"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 xml:space="preserve">Third, there is a huge economic cost associated with violence. The World Bank (2012) estimated the costs as a consequence of violence between </w:t>
      </w:r>
      <w:proofErr w:type="gramStart"/>
      <w:r w:rsidRPr="008B4D4B">
        <w:rPr>
          <w:rFonts w:ascii="Didot" w:eastAsia="Arial" w:hAnsi="Didot" w:cs="Didot"/>
          <w:spacing w:val="1"/>
          <w:sz w:val="22"/>
          <w:szCs w:val="22"/>
        </w:rPr>
        <w:t>8%</w:t>
      </w:r>
      <w:proofErr w:type="gramEnd"/>
      <w:r w:rsidRPr="008B4D4B">
        <w:rPr>
          <w:rFonts w:ascii="Didot" w:eastAsia="Arial" w:hAnsi="Didot" w:cs="Didot"/>
          <w:spacing w:val="1"/>
          <w:sz w:val="22"/>
          <w:szCs w:val="22"/>
        </w:rPr>
        <w:t xml:space="preserve"> and 15% of the gross domestic product (GDP) of Mexico (depending on whether direct, indirect, and/or intangible costs are included in the assessment).  In addition, the cost of violence containment spent in Mexico is currently estimated at around 6.8% of the gross domestic product (GDP), that is, around 126 billion US$ annually (Institute for Economics and Peace, 2014).</w:t>
      </w:r>
    </w:p>
    <w:p w14:paraId="3180F9FF" w14:textId="77777777" w:rsidR="00B552DA" w:rsidRPr="008B4D4B" w:rsidRDefault="00B552DA" w:rsidP="008A7E29">
      <w:pPr>
        <w:ind w:left="105" w:right="301"/>
        <w:jc w:val="both"/>
        <w:rPr>
          <w:rFonts w:ascii="Didot" w:eastAsia="Arial" w:hAnsi="Didot" w:cs="Didot"/>
          <w:spacing w:val="1"/>
          <w:sz w:val="22"/>
          <w:szCs w:val="22"/>
        </w:rPr>
      </w:pPr>
    </w:p>
    <w:p w14:paraId="3C036E66"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2"/>
          <w:w w:val="102"/>
          <w:sz w:val="22"/>
          <w:szCs w:val="22"/>
        </w:rPr>
        <w:t xml:space="preserve">The federal government administration, headed by President Enrique Pena Nieto, has decided to place prevention at the center of their security strategy. In 2013 the unprecedented creation of a National Violence and Delinquency Prevention Program was announced. This National Program has the virtue of being proposed in accordance with the ecological framework and the explicit support of interventions aimed at risk and protective factors at individual, family, community and social levels. Another key aspect is that National Laws and State Norms for implementing violence prevention include in their terminology several key definitions, including the explicit mention of three levels of primary secondary and tertiary prevention which are the key concept of the public health approach. This fact is of fundamental importance and offers a great area for opportunity by acting as an enabler for financing large-scale theory driven </w:t>
      </w:r>
      <w:proofErr w:type="gramStart"/>
      <w:r w:rsidRPr="008B4D4B">
        <w:rPr>
          <w:rFonts w:ascii="Didot" w:eastAsia="Arial" w:hAnsi="Didot" w:cs="Didot"/>
          <w:spacing w:val="2"/>
          <w:w w:val="102"/>
          <w:sz w:val="22"/>
          <w:szCs w:val="22"/>
        </w:rPr>
        <w:t>social</w:t>
      </w:r>
      <w:proofErr w:type="gramEnd"/>
      <w:r w:rsidRPr="008B4D4B">
        <w:rPr>
          <w:rFonts w:ascii="Didot" w:eastAsia="Arial" w:hAnsi="Didot" w:cs="Didot"/>
          <w:spacing w:val="2"/>
          <w:w w:val="102"/>
          <w:sz w:val="22"/>
          <w:szCs w:val="22"/>
        </w:rPr>
        <w:t xml:space="preserve"> programs at federal, state and local levels, according to sound and constructs and program models.</w:t>
      </w:r>
    </w:p>
    <w:p w14:paraId="6AAF12D2" w14:textId="77777777" w:rsidR="00B552DA" w:rsidRPr="008B4D4B" w:rsidRDefault="00B552DA" w:rsidP="008A7E29">
      <w:pPr>
        <w:ind w:left="105" w:right="301"/>
        <w:jc w:val="both"/>
        <w:rPr>
          <w:rFonts w:ascii="Didot" w:eastAsia="Arial" w:hAnsi="Didot" w:cs="Didot"/>
          <w:spacing w:val="2"/>
          <w:w w:val="102"/>
          <w:sz w:val="22"/>
          <w:szCs w:val="22"/>
        </w:rPr>
      </w:pPr>
    </w:p>
    <w:p w14:paraId="59720556"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2"/>
          <w:w w:val="102"/>
          <w:sz w:val="22"/>
          <w:szCs w:val="22"/>
        </w:rPr>
        <w:t>The National Program has identified 100 key geographical areas through the country and is investing unprecedented financial and human resources for the sole purpose of targeted violence and delinquency prevention. However, formal and informal evaluations of the National Violence and Delinquency Prevention Program have identified the following key areas of opportunity in order to better design and implement this type of complex intervention programs.</w:t>
      </w:r>
    </w:p>
    <w:p w14:paraId="0643A889" w14:textId="77777777" w:rsidR="00B552DA" w:rsidRPr="008B4D4B" w:rsidRDefault="00B552DA" w:rsidP="008A7E29">
      <w:pPr>
        <w:ind w:left="105" w:right="301"/>
        <w:jc w:val="both"/>
        <w:rPr>
          <w:rFonts w:ascii="Didot" w:eastAsia="Arial" w:hAnsi="Didot" w:cs="Didot"/>
          <w:spacing w:val="2"/>
          <w:w w:val="102"/>
          <w:sz w:val="22"/>
          <w:szCs w:val="22"/>
        </w:rPr>
      </w:pPr>
    </w:p>
    <w:p w14:paraId="6CA53FA5"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2"/>
          <w:w w:val="102"/>
          <w:sz w:val="22"/>
          <w:szCs w:val="22"/>
        </w:rPr>
        <w:t xml:space="preserve">First; those responsible for funding the implementation of violence and delinquency prevention programs need to understand that value of the scientific approach, which is currently being used in many violence prevention initiatives </w:t>
      </w:r>
      <w:r w:rsidRPr="008B4D4B">
        <w:rPr>
          <w:rFonts w:ascii="Didot" w:eastAsia="Arial" w:hAnsi="Didot" w:cs="Didot"/>
          <w:spacing w:val="2"/>
          <w:w w:val="102"/>
          <w:sz w:val="22"/>
          <w:szCs w:val="22"/>
        </w:rPr>
        <w:lastRenderedPageBreak/>
        <w:t xml:space="preserve">globally. </w:t>
      </w:r>
      <w:r w:rsidRPr="008B4D4B">
        <w:rPr>
          <w:rFonts w:ascii="Didot" w:eastAsia="Arial" w:hAnsi="Didot" w:cs="Didot"/>
          <w:spacing w:val="1"/>
          <w:sz w:val="22"/>
          <w:szCs w:val="22"/>
        </w:rPr>
        <w:t>Therefore, governmental authorities, social and public health workers, the private sector and other social actors need to be made aware of the growing epidemic, as well as of the scientific basis of violence prevention that has accumulated over the last four decades.</w:t>
      </w:r>
    </w:p>
    <w:p w14:paraId="1A879FC5" w14:textId="77777777" w:rsidR="00B552DA" w:rsidRPr="008B4D4B" w:rsidRDefault="00B552DA" w:rsidP="008A7E29">
      <w:pPr>
        <w:ind w:left="105" w:right="301"/>
        <w:jc w:val="both"/>
        <w:rPr>
          <w:rFonts w:ascii="Didot" w:eastAsia="Arial" w:hAnsi="Didot" w:cs="Didot"/>
          <w:spacing w:val="2"/>
          <w:w w:val="102"/>
          <w:sz w:val="22"/>
          <w:szCs w:val="22"/>
        </w:rPr>
      </w:pPr>
    </w:p>
    <w:p w14:paraId="600901BC"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2"/>
          <w:w w:val="102"/>
          <w:sz w:val="22"/>
          <w:szCs w:val="22"/>
        </w:rPr>
        <w:t xml:space="preserve">Second; there is a lack of measurement and evaluation, observable at all levels of the program. This implies that programs and interventions which are being funded are not strictly selected based on science. As such, many interventions lack clear goals and targets specific to violence prevention, or the use of key performance indicators at local and community levels. Evidence based public health practice calls for the establishment of rigorous measurement of the effect of interventions. Monitoring and evaluation should become commonplace and are necessary in order to demonstrate effects and only programs and interventions with proven effects should be funded. A specific minimum amount (in the range of </w:t>
      </w:r>
      <w:proofErr w:type="gramStart"/>
      <w:r w:rsidRPr="008B4D4B">
        <w:rPr>
          <w:rFonts w:ascii="Didot" w:eastAsia="Arial" w:hAnsi="Didot" w:cs="Didot"/>
          <w:spacing w:val="2"/>
          <w:w w:val="102"/>
          <w:sz w:val="22"/>
          <w:szCs w:val="22"/>
        </w:rPr>
        <w:t>10%</w:t>
      </w:r>
      <w:proofErr w:type="gramEnd"/>
      <w:r w:rsidRPr="008B4D4B">
        <w:rPr>
          <w:rFonts w:ascii="Didot" w:eastAsia="Arial" w:hAnsi="Didot" w:cs="Didot"/>
          <w:spacing w:val="2"/>
          <w:w w:val="102"/>
          <w:sz w:val="22"/>
          <w:szCs w:val="22"/>
        </w:rPr>
        <w:t xml:space="preserve"> to 20% of total program budgets) is desirable to be specifically set aside for measurement and evaluation activities.</w:t>
      </w:r>
    </w:p>
    <w:p w14:paraId="549479D7" w14:textId="77777777" w:rsidR="00B552DA" w:rsidRPr="008B4D4B" w:rsidRDefault="00B552DA" w:rsidP="008A7E29">
      <w:pPr>
        <w:ind w:left="105" w:right="301"/>
        <w:jc w:val="both"/>
        <w:rPr>
          <w:rFonts w:ascii="Didot" w:eastAsia="Arial" w:hAnsi="Didot" w:cs="Didot"/>
          <w:spacing w:val="2"/>
          <w:w w:val="102"/>
          <w:sz w:val="22"/>
          <w:szCs w:val="22"/>
        </w:rPr>
      </w:pPr>
    </w:p>
    <w:p w14:paraId="5F130033"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z w:val="22"/>
          <w:szCs w:val="22"/>
        </w:rPr>
        <w:t xml:space="preserve">Third; in order to contribute to the control and prevention of this growing epidemic, it is advisable that valuable existing evidence derived from multidisciplinary approaches in the social sciences, regarding what interventions have shown to be most useful and effective for preventing violence, across different age groups and settings, should urgently become widespread. </w:t>
      </w:r>
      <w:r w:rsidRPr="008B4D4B">
        <w:rPr>
          <w:rFonts w:ascii="Didot" w:eastAsia="Arial" w:hAnsi="Didot" w:cs="Didot"/>
          <w:spacing w:val="2"/>
          <w:w w:val="102"/>
          <w:sz w:val="22"/>
          <w:szCs w:val="22"/>
        </w:rPr>
        <w:t>This is most important within the context of underdeveloped social organizations and weak institutional settings, where there is an overall lack of implementation experience at the local level. This transfers in the need for training in capacity building and in intervention implementation methodology.</w:t>
      </w:r>
    </w:p>
    <w:p w14:paraId="76FB8F39" w14:textId="77777777" w:rsidR="00B552DA" w:rsidRPr="008B4D4B" w:rsidRDefault="00B552DA" w:rsidP="008A7E29">
      <w:pPr>
        <w:ind w:left="105" w:right="301"/>
        <w:jc w:val="both"/>
        <w:rPr>
          <w:rFonts w:ascii="Didot" w:eastAsia="Arial" w:hAnsi="Didot" w:cs="Didot"/>
          <w:spacing w:val="2"/>
          <w:w w:val="102"/>
          <w:sz w:val="22"/>
          <w:szCs w:val="22"/>
        </w:rPr>
      </w:pPr>
    </w:p>
    <w:p w14:paraId="2BB270B9"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1"/>
          <w:sz w:val="22"/>
          <w:szCs w:val="22"/>
        </w:rPr>
        <w:t>Fourth</w:t>
      </w:r>
      <w:r w:rsidRPr="008B4D4B">
        <w:rPr>
          <w:rFonts w:ascii="Didot" w:eastAsia="Arial" w:hAnsi="Didot" w:cs="Didot"/>
          <w:spacing w:val="2"/>
          <w:w w:val="102"/>
          <w:sz w:val="22"/>
          <w:szCs w:val="22"/>
        </w:rPr>
        <w:t>, epidemiologic surveillance and geographic information systems (GIS) for intentional injuries need to be in place. This entails financial and human resources who will be in charge of measurement, must be considered in long term funding mechanisms. Careful attention must be paid to the longitudinal aspect of research design. The private sector is a key ally for this endeavor whose collaboration needs to be well grounded in state and national policies and its operations financed.</w:t>
      </w:r>
    </w:p>
    <w:p w14:paraId="779B3C26" w14:textId="77777777" w:rsidR="00B552DA" w:rsidRPr="008B4D4B" w:rsidRDefault="00B552DA" w:rsidP="008A7E29">
      <w:pPr>
        <w:ind w:left="105" w:right="301"/>
        <w:jc w:val="both"/>
        <w:rPr>
          <w:rFonts w:ascii="Didot" w:eastAsia="Arial" w:hAnsi="Didot" w:cs="Didot"/>
          <w:spacing w:val="2"/>
          <w:w w:val="102"/>
          <w:sz w:val="22"/>
          <w:szCs w:val="22"/>
        </w:rPr>
      </w:pPr>
    </w:p>
    <w:p w14:paraId="195F80EF" w14:textId="77777777" w:rsidR="00B552DA" w:rsidRPr="008B4D4B" w:rsidRDefault="00B552DA" w:rsidP="008A7E29">
      <w:pPr>
        <w:ind w:left="105" w:right="301"/>
        <w:jc w:val="both"/>
        <w:rPr>
          <w:rFonts w:ascii="Didot" w:eastAsia="Arial" w:hAnsi="Didot" w:cs="Didot"/>
          <w:spacing w:val="2"/>
          <w:w w:val="102"/>
          <w:sz w:val="22"/>
          <w:szCs w:val="22"/>
        </w:rPr>
      </w:pPr>
      <w:r w:rsidRPr="008B4D4B">
        <w:rPr>
          <w:rFonts w:ascii="Didot" w:eastAsia="Arial" w:hAnsi="Didot" w:cs="Didot"/>
          <w:spacing w:val="2"/>
          <w:w w:val="102"/>
          <w:sz w:val="22"/>
          <w:szCs w:val="22"/>
        </w:rPr>
        <w:t xml:space="preserve">Fifth; in this juncture, the specific collaboration of Criminal Justice and Police agencies with their Public-Health, Education and Social Development counterparts, remains the biggest challenge. Laws and regulations are not enough to guarantee the multi-sectoral collaboration and articulation that is needed in order to effectively deliver comprehensive program elements. Multi sector involvement in a well-coordinated fashion represents the main challenge faced when implementing violence prevention policies. Local prevention projects should be strengthened by having in place multi sectorial project planning groups, composed of federal, state and local authorities, and including organized civil society and private sector groups.  Also, state-level prevention programs need to be specifically supported with adequate long term financial, human and technical </w:t>
      </w:r>
      <w:r w:rsidRPr="008B4D4B">
        <w:rPr>
          <w:rFonts w:ascii="Didot" w:eastAsia="Arial" w:hAnsi="Didot" w:cs="Didot"/>
          <w:spacing w:val="2"/>
          <w:w w:val="102"/>
          <w:sz w:val="22"/>
          <w:szCs w:val="22"/>
        </w:rPr>
        <w:lastRenderedPageBreak/>
        <w:t>resources, in order to accompany and safeguard the management, implementation and follow up of violence prevention interventions.</w:t>
      </w:r>
    </w:p>
    <w:p w14:paraId="7FE1FF80" w14:textId="77777777" w:rsidR="00B552DA" w:rsidRPr="008B4D4B" w:rsidRDefault="00B552DA" w:rsidP="008A7E29">
      <w:pPr>
        <w:ind w:left="105" w:right="301"/>
        <w:jc w:val="both"/>
        <w:rPr>
          <w:rFonts w:ascii="Didot" w:eastAsia="Arial" w:hAnsi="Didot" w:cs="Didot"/>
          <w:spacing w:val="1"/>
          <w:sz w:val="22"/>
          <w:szCs w:val="22"/>
        </w:rPr>
      </w:pPr>
    </w:p>
    <w:p w14:paraId="1C13D7ED"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In addition, the World Health Organization [WHO] (2012) recently endorsed a set of policy recommendations in order to reduce the prevalence and inverse impact of violence. These recommendations vary according to the type of violence and the sector of the population affected (e.g., child abuse, intimate partner violence, youth violence, violence against the elderly, and self-inflicted violence) and include (a) the development of primary intervention programs for young children and their care-givers aimed at fostering strong, stable, and stimulating relationships (which have been shown to be more cost-effective, Institute of Medicine, 2013), (b) programs for enhancing the cognitive, emotional, interpersonal, and social life-skills in children and adolescents, (c) the reduction of the availability and consumption of alcohol, which is considered a risk factor for all types of violent behavior, (d) a restricted accessibility to lethal means, including hand guns, blades, and poisons, and (e) an improved attention and support for victims.</w:t>
      </w:r>
    </w:p>
    <w:p w14:paraId="404F4D7B" w14:textId="77777777" w:rsidR="00B552DA" w:rsidRPr="008B4D4B" w:rsidRDefault="00B552DA" w:rsidP="008A7E29">
      <w:pPr>
        <w:ind w:left="105" w:right="301"/>
        <w:jc w:val="both"/>
        <w:rPr>
          <w:rFonts w:ascii="Didot" w:eastAsia="Arial" w:hAnsi="Didot" w:cs="Didot"/>
          <w:spacing w:val="1"/>
          <w:sz w:val="22"/>
          <w:szCs w:val="22"/>
        </w:rPr>
      </w:pPr>
    </w:p>
    <w:p w14:paraId="3D5C2BDE" w14:textId="77777777" w:rsidR="00B552DA" w:rsidRPr="008B4D4B" w:rsidRDefault="00B552DA" w:rsidP="008A7E29">
      <w:pPr>
        <w:ind w:left="105" w:right="301"/>
        <w:jc w:val="both"/>
        <w:rPr>
          <w:rFonts w:ascii="Didot" w:eastAsia="Arial" w:hAnsi="Didot" w:cs="Didot"/>
          <w:spacing w:val="1"/>
          <w:sz w:val="22"/>
          <w:szCs w:val="22"/>
        </w:rPr>
      </w:pPr>
      <w:r w:rsidRPr="008B4D4B">
        <w:rPr>
          <w:rFonts w:ascii="Didot" w:eastAsia="Arial" w:hAnsi="Didot" w:cs="Didot"/>
          <w:spacing w:val="1"/>
          <w:sz w:val="22"/>
          <w:szCs w:val="22"/>
        </w:rPr>
        <w:t>Given the extent and the growth of the violence problem in Mexico during recent years, it is mandatory to translate the available scientific evidence into effective actions, like the suggestions by the WHO (2012). Therefore, Mexico must move beyond political</w:t>
      </w:r>
    </w:p>
    <w:p w14:paraId="232062AF" w14:textId="310B5D20" w:rsidR="00160E26" w:rsidRPr="008B4D4B" w:rsidRDefault="00B552DA" w:rsidP="008A7E29">
      <w:pPr>
        <w:ind w:left="105" w:right="301"/>
        <w:jc w:val="both"/>
        <w:rPr>
          <w:rFonts w:ascii="Didot" w:eastAsia="Arial" w:hAnsi="Didot" w:cs="Didot"/>
          <w:spacing w:val="1"/>
          <w:sz w:val="22"/>
          <w:szCs w:val="22"/>
        </w:rPr>
        <w:sectPr w:rsidR="00160E26" w:rsidRPr="008B4D4B" w:rsidSect="009B55FC">
          <w:type w:val="continuous"/>
          <w:pgSz w:w="12240" w:h="15840" w:code="1"/>
          <w:pgMar w:top="1380" w:right="1680" w:bottom="1843" w:left="1520" w:header="720" w:footer="720" w:gutter="0"/>
          <w:cols w:space="720"/>
          <w:docGrid w:linePitch="299"/>
        </w:sectPr>
      </w:pPr>
      <w:proofErr w:type="gramStart"/>
      <w:r w:rsidRPr="008B4D4B">
        <w:rPr>
          <w:rFonts w:ascii="Didot" w:eastAsia="Arial" w:hAnsi="Didot" w:cs="Didot"/>
          <w:spacing w:val="1"/>
          <w:sz w:val="22"/>
          <w:szCs w:val="22"/>
        </w:rPr>
        <w:t>discourse and ensure that the finite resources available for violence prevention  are used in a scientifically sound way.</w:t>
      </w:r>
      <w:proofErr w:type="gramEnd"/>
      <w:r w:rsidRPr="008B4D4B">
        <w:rPr>
          <w:rFonts w:ascii="Didot" w:eastAsia="Arial" w:hAnsi="Didot" w:cs="Didot"/>
          <w:spacing w:val="1"/>
          <w:sz w:val="22"/>
          <w:szCs w:val="22"/>
        </w:rPr>
        <w:t xml:space="preserve"> Evidence further indicates that, to this end, a multisectoral approach is most successful, that breaks down silos and in which the efforts of policy makers, the state health department, the educational system, the judicial system, and civil society members are orchestrated.</w:t>
      </w:r>
    </w:p>
    <w:p w14:paraId="2C76A89F" w14:textId="77777777" w:rsidR="00B552DA" w:rsidRPr="006916FC" w:rsidRDefault="00B552DA" w:rsidP="008A7E29">
      <w:pPr>
        <w:spacing w:before="62"/>
        <w:ind w:right="-20"/>
        <w:jc w:val="both"/>
        <w:rPr>
          <w:rFonts w:ascii="Didot" w:eastAsia="Arial" w:hAnsi="Didot" w:cs="Didot"/>
          <w:b/>
          <w:sz w:val="20"/>
          <w:szCs w:val="20"/>
        </w:rPr>
      </w:pPr>
      <w:r w:rsidRPr="006916FC">
        <w:rPr>
          <w:rFonts w:ascii="Didot" w:eastAsia="Arial" w:hAnsi="Didot" w:cs="Didot"/>
          <w:b/>
          <w:spacing w:val="-20"/>
          <w:sz w:val="20"/>
          <w:szCs w:val="20"/>
        </w:rPr>
        <w:lastRenderedPageBreak/>
        <w:t>T</w:t>
      </w:r>
      <w:r w:rsidRPr="006916FC">
        <w:rPr>
          <w:rFonts w:ascii="Didot" w:eastAsia="Arial" w:hAnsi="Didot" w:cs="Didot"/>
          <w:b/>
          <w:sz w:val="20"/>
          <w:szCs w:val="20"/>
        </w:rPr>
        <w:t>able</w:t>
      </w:r>
      <w:r w:rsidRPr="006916FC">
        <w:rPr>
          <w:rFonts w:ascii="Didot" w:eastAsia="Arial" w:hAnsi="Didot" w:cs="Didot"/>
          <w:b/>
          <w:spacing w:val="-7"/>
          <w:sz w:val="20"/>
          <w:szCs w:val="20"/>
        </w:rPr>
        <w:t xml:space="preserve"> </w:t>
      </w:r>
      <w:r w:rsidRPr="006916FC">
        <w:rPr>
          <w:rFonts w:ascii="Didot" w:eastAsia="Arial" w:hAnsi="Didot" w:cs="Didot"/>
          <w:b/>
          <w:sz w:val="20"/>
          <w:szCs w:val="20"/>
        </w:rPr>
        <w:t>1</w:t>
      </w:r>
    </w:p>
    <w:p w14:paraId="5F2F9574" w14:textId="77777777" w:rsidR="00B552DA" w:rsidRPr="006916FC" w:rsidRDefault="00B552DA" w:rsidP="008A7E29">
      <w:pPr>
        <w:ind w:left="116" w:right="116"/>
        <w:jc w:val="both"/>
        <w:rPr>
          <w:rFonts w:ascii="Didot" w:eastAsia="Arial" w:hAnsi="Didot" w:cs="Didot"/>
          <w:sz w:val="20"/>
          <w:szCs w:val="20"/>
        </w:rPr>
      </w:pPr>
      <w:r w:rsidRPr="006916FC">
        <w:rPr>
          <w:rFonts w:ascii="Didot" w:eastAsia="Arial" w:hAnsi="Didot" w:cs="Didot"/>
          <w:i/>
          <w:sz w:val="20"/>
          <w:szCs w:val="20"/>
        </w:rPr>
        <w:t>Mexico Population</w:t>
      </w:r>
      <w:r w:rsidRPr="006916FC">
        <w:rPr>
          <w:rFonts w:ascii="Didot" w:eastAsia="Arial" w:hAnsi="Didot" w:cs="Didot"/>
          <w:i/>
          <w:spacing w:val="-17"/>
          <w:sz w:val="20"/>
          <w:szCs w:val="20"/>
        </w:rPr>
        <w:t xml:space="preserve"> </w:t>
      </w:r>
      <w:r w:rsidRPr="006916FC">
        <w:rPr>
          <w:rFonts w:ascii="Didot" w:eastAsia="Arial" w:hAnsi="Didot" w:cs="Didot"/>
          <w:i/>
          <w:w w:val="90"/>
          <w:sz w:val="20"/>
          <w:szCs w:val="20"/>
        </w:rPr>
        <w:t>Size,</w:t>
      </w:r>
      <w:r w:rsidRPr="006916FC">
        <w:rPr>
          <w:rFonts w:ascii="Didot" w:eastAsia="Arial" w:hAnsi="Didot" w:cs="Didot"/>
          <w:i/>
          <w:spacing w:val="4"/>
          <w:w w:val="90"/>
          <w:sz w:val="20"/>
          <w:szCs w:val="20"/>
        </w:rPr>
        <w:t xml:space="preserve"> </w:t>
      </w:r>
      <w:r w:rsidRPr="006916FC">
        <w:rPr>
          <w:rFonts w:ascii="Didot" w:eastAsia="Arial" w:hAnsi="Didot" w:cs="Didot"/>
          <w:i/>
          <w:w w:val="90"/>
          <w:sz w:val="20"/>
          <w:szCs w:val="20"/>
        </w:rPr>
        <w:t>Num</w:t>
      </w:r>
      <w:r w:rsidRPr="006916FC">
        <w:rPr>
          <w:rFonts w:ascii="Didot" w:eastAsia="Arial" w:hAnsi="Didot" w:cs="Didot"/>
          <w:i/>
          <w:spacing w:val="-11"/>
          <w:w w:val="90"/>
          <w:sz w:val="20"/>
          <w:szCs w:val="20"/>
        </w:rPr>
        <w:t>b</w:t>
      </w:r>
      <w:r w:rsidRPr="006916FC">
        <w:rPr>
          <w:rFonts w:ascii="Didot" w:eastAsia="Arial" w:hAnsi="Didot" w:cs="Didot"/>
          <w:i/>
          <w:w w:val="90"/>
          <w:sz w:val="20"/>
          <w:szCs w:val="20"/>
        </w:rPr>
        <w:t>er</w:t>
      </w:r>
      <w:r w:rsidRPr="006916FC">
        <w:rPr>
          <w:rFonts w:ascii="Didot" w:eastAsia="Arial" w:hAnsi="Didot" w:cs="Didot"/>
          <w:i/>
          <w:spacing w:val="54"/>
          <w:w w:val="90"/>
          <w:sz w:val="20"/>
          <w:szCs w:val="20"/>
        </w:rPr>
        <w:t xml:space="preserve"> </w:t>
      </w:r>
      <w:r w:rsidRPr="006916FC">
        <w:rPr>
          <w:rFonts w:ascii="Didot" w:eastAsia="Arial" w:hAnsi="Didot" w:cs="Didot"/>
          <w:i/>
          <w:sz w:val="20"/>
          <w:szCs w:val="20"/>
        </w:rPr>
        <w:t>of</w:t>
      </w:r>
      <w:r w:rsidRPr="006916FC">
        <w:rPr>
          <w:rFonts w:ascii="Didot" w:eastAsia="Arial" w:hAnsi="Didot" w:cs="Didot"/>
          <w:i/>
          <w:spacing w:val="7"/>
          <w:sz w:val="20"/>
          <w:szCs w:val="20"/>
        </w:rPr>
        <w:t xml:space="preserve"> </w:t>
      </w:r>
      <w:r w:rsidRPr="006916FC">
        <w:rPr>
          <w:rFonts w:ascii="Didot" w:eastAsia="Arial" w:hAnsi="Didot" w:cs="Didot"/>
          <w:i/>
          <w:w w:val="94"/>
          <w:sz w:val="20"/>
          <w:szCs w:val="20"/>
        </w:rPr>
        <w:t>Homicides</w:t>
      </w:r>
      <w:r w:rsidRPr="006916FC">
        <w:rPr>
          <w:rFonts w:ascii="Didot" w:eastAsia="Arial" w:hAnsi="Didot" w:cs="Didot"/>
          <w:i/>
          <w:spacing w:val="21"/>
          <w:w w:val="94"/>
          <w:sz w:val="20"/>
          <w:szCs w:val="20"/>
        </w:rPr>
        <w:t xml:space="preserve"> </w:t>
      </w:r>
      <w:r w:rsidRPr="006916FC">
        <w:rPr>
          <w:rFonts w:ascii="Didot" w:eastAsia="Arial" w:hAnsi="Didot" w:cs="Didot"/>
          <w:i/>
          <w:sz w:val="20"/>
          <w:szCs w:val="20"/>
        </w:rPr>
        <w:t>and</w:t>
      </w:r>
      <w:r w:rsidRPr="006916FC">
        <w:rPr>
          <w:rFonts w:ascii="Didot" w:eastAsia="Arial" w:hAnsi="Didot" w:cs="Didot"/>
          <w:i/>
          <w:spacing w:val="-15"/>
          <w:sz w:val="20"/>
          <w:szCs w:val="20"/>
        </w:rPr>
        <w:t xml:space="preserve"> </w:t>
      </w:r>
      <w:r w:rsidRPr="006916FC">
        <w:rPr>
          <w:rFonts w:ascii="Didot" w:eastAsia="Arial" w:hAnsi="Didot" w:cs="Didot"/>
          <w:i/>
          <w:w w:val="92"/>
          <w:sz w:val="20"/>
          <w:szCs w:val="20"/>
        </w:rPr>
        <w:t>Suicides,</w:t>
      </w:r>
      <w:r w:rsidRPr="006916FC">
        <w:rPr>
          <w:rFonts w:ascii="Didot" w:eastAsia="Arial" w:hAnsi="Didot" w:cs="Didot"/>
          <w:i/>
          <w:spacing w:val="22"/>
          <w:w w:val="92"/>
          <w:sz w:val="20"/>
          <w:szCs w:val="20"/>
        </w:rPr>
        <w:t xml:space="preserve"> </w:t>
      </w:r>
      <w:r w:rsidRPr="006916FC">
        <w:rPr>
          <w:rFonts w:ascii="Didot" w:eastAsia="Arial" w:hAnsi="Didot" w:cs="Didot"/>
          <w:i/>
          <w:sz w:val="20"/>
          <w:szCs w:val="20"/>
        </w:rPr>
        <w:t>and</w:t>
      </w:r>
      <w:r w:rsidRPr="006916FC">
        <w:rPr>
          <w:rFonts w:ascii="Didot" w:eastAsia="Arial" w:hAnsi="Didot" w:cs="Didot"/>
          <w:i/>
          <w:spacing w:val="-15"/>
          <w:sz w:val="20"/>
          <w:szCs w:val="20"/>
        </w:rPr>
        <w:t xml:space="preserve"> </w:t>
      </w:r>
      <w:r w:rsidRPr="006916FC">
        <w:rPr>
          <w:rFonts w:ascii="Didot" w:eastAsia="Arial" w:hAnsi="Didot" w:cs="Didot"/>
          <w:i/>
          <w:spacing w:val="-11"/>
          <w:w w:val="91"/>
          <w:sz w:val="20"/>
          <w:szCs w:val="20"/>
        </w:rPr>
        <w:t>A</w:t>
      </w:r>
      <w:r w:rsidRPr="006916FC">
        <w:rPr>
          <w:rFonts w:ascii="Didot" w:eastAsia="Arial" w:hAnsi="Didot" w:cs="Didot"/>
          <w:i/>
          <w:w w:val="91"/>
          <w:sz w:val="20"/>
          <w:szCs w:val="20"/>
        </w:rPr>
        <w:t>ss</w:t>
      </w:r>
      <w:r w:rsidRPr="006916FC">
        <w:rPr>
          <w:rFonts w:ascii="Didot" w:eastAsia="Arial" w:hAnsi="Didot" w:cs="Didot"/>
          <w:i/>
          <w:spacing w:val="-11"/>
          <w:w w:val="91"/>
          <w:sz w:val="20"/>
          <w:szCs w:val="20"/>
        </w:rPr>
        <w:t>o</w:t>
      </w:r>
      <w:r w:rsidRPr="006916FC">
        <w:rPr>
          <w:rFonts w:ascii="Didot" w:eastAsia="Arial" w:hAnsi="Didot" w:cs="Didot"/>
          <w:i/>
          <w:w w:val="91"/>
          <w:sz w:val="20"/>
          <w:szCs w:val="20"/>
        </w:rPr>
        <w:t>ciat</w:t>
      </w:r>
      <w:r w:rsidRPr="006916FC">
        <w:rPr>
          <w:rFonts w:ascii="Didot" w:eastAsia="Arial" w:hAnsi="Didot" w:cs="Didot"/>
          <w:i/>
          <w:spacing w:val="-11"/>
          <w:w w:val="91"/>
          <w:sz w:val="20"/>
          <w:szCs w:val="20"/>
        </w:rPr>
        <w:t>e</w:t>
      </w:r>
      <w:r w:rsidRPr="006916FC">
        <w:rPr>
          <w:rFonts w:ascii="Didot" w:eastAsia="Arial" w:hAnsi="Didot" w:cs="Didot"/>
          <w:i/>
          <w:w w:val="91"/>
          <w:sz w:val="20"/>
          <w:szCs w:val="20"/>
        </w:rPr>
        <w:t>d</w:t>
      </w:r>
      <w:r w:rsidRPr="006916FC">
        <w:rPr>
          <w:rFonts w:ascii="Didot" w:eastAsia="Arial" w:hAnsi="Didot" w:cs="Didot"/>
          <w:i/>
          <w:spacing w:val="35"/>
          <w:w w:val="91"/>
          <w:sz w:val="20"/>
          <w:szCs w:val="20"/>
        </w:rPr>
        <w:t xml:space="preserve"> </w:t>
      </w:r>
      <w:r w:rsidRPr="006916FC">
        <w:rPr>
          <w:rFonts w:ascii="Didot" w:eastAsia="Arial" w:hAnsi="Didot" w:cs="Didot"/>
          <w:i/>
          <w:spacing w:val="-11"/>
          <w:w w:val="91"/>
          <w:sz w:val="20"/>
          <w:szCs w:val="20"/>
        </w:rPr>
        <w:t>R</w:t>
      </w:r>
      <w:r w:rsidRPr="006916FC">
        <w:rPr>
          <w:rFonts w:ascii="Didot" w:eastAsia="Arial" w:hAnsi="Didot" w:cs="Didot"/>
          <w:i/>
          <w:w w:val="91"/>
          <w:sz w:val="20"/>
          <w:szCs w:val="20"/>
        </w:rPr>
        <w:t>ates</w:t>
      </w:r>
      <w:r w:rsidRPr="006916FC">
        <w:rPr>
          <w:rFonts w:ascii="Didot" w:eastAsia="Arial" w:hAnsi="Didot" w:cs="Didot"/>
          <w:i/>
          <w:spacing w:val="20"/>
          <w:w w:val="91"/>
          <w:sz w:val="20"/>
          <w:szCs w:val="20"/>
        </w:rPr>
        <w:t xml:space="preserve"> </w:t>
      </w:r>
      <w:r w:rsidRPr="006916FC">
        <w:rPr>
          <w:rFonts w:ascii="Didot" w:eastAsia="Arial" w:hAnsi="Didot" w:cs="Didot"/>
          <w:i/>
          <w:spacing w:val="-12"/>
          <w:sz w:val="20"/>
          <w:szCs w:val="20"/>
        </w:rPr>
        <w:t>p</w:t>
      </w:r>
      <w:r w:rsidRPr="006916FC">
        <w:rPr>
          <w:rFonts w:ascii="Didot" w:eastAsia="Arial" w:hAnsi="Didot" w:cs="Didot"/>
          <w:i/>
          <w:sz w:val="20"/>
          <w:szCs w:val="20"/>
        </w:rPr>
        <w:t>er</w:t>
      </w:r>
      <w:r w:rsidRPr="006916FC">
        <w:rPr>
          <w:rFonts w:ascii="Didot" w:eastAsia="Arial" w:hAnsi="Didot" w:cs="Didot"/>
          <w:i/>
          <w:spacing w:val="-6"/>
          <w:sz w:val="20"/>
          <w:szCs w:val="20"/>
        </w:rPr>
        <w:t xml:space="preserve"> </w:t>
      </w:r>
      <w:r w:rsidRPr="006916FC">
        <w:rPr>
          <w:rFonts w:ascii="Didot" w:eastAsia="Arial" w:hAnsi="Didot" w:cs="Didot"/>
          <w:i/>
          <w:w w:val="90"/>
          <w:sz w:val="20"/>
          <w:szCs w:val="20"/>
        </w:rPr>
        <w:t>100,000</w:t>
      </w:r>
      <w:r w:rsidRPr="006916FC">
        <w:rPr>
          <w:rFonts w:ascii="Didot" w:eastAsia="Arial" w:hAnsi="Didot" w:cs="Didot"/>
          <w:i/>
          <w:spacing w:val="24"/>
          <w:w w:val="90"/>
          <w:sz w:val="20"/>
          <w:szCs w:val="20"/>
        </w:rPr>
        <w:t xml:space="preserve"> </w:t>
      </w:r>
      <w:r w:rsidRPr="006916FC">
        <w:rPr>
          <w:rFonts w:ascii="Didot" w:eastAsia="Arial" w:hAnsi="Didot" w:cs="Didot"/>
          <w:i/>
          <w:sz w:val="20"/>
          <w:szCs w:val="20"/>
        </w:rPr>
        <w:t>Inhabitants</w:t>
      </w:r>
      <w:r w:rsidRPr="006916FC">
        <w:rPr>
          <w:rFonts w:ascii="Didot" w:eastAsia="Arial" w:hAnsi="Didot" w:cs="Didot"/>
          <w:i/>
          <w:spacing w:val="-18"/>
          <w:sz w:val="20"/>
          <w:szCs w:val="20"/>
        </w:rPr>
        <w:t xml:space="preserve"> </w:t>
      </w:r>
      <w:r w:rsidRPr="006916FC">
        <w:rPr>
          <w:rFonts w:ascii="Didot" w:eastAsia="Arial" w:hAnsi="Didot" w:cs="Didot"/>
          <w:i/>
          <w:sz w:val="20"/>
          <w:szCs w:val="20"/>
        </w:rPr>
        <w:t>for</w:t>
      </w:r>
      <w:r w:rsidRPr="006916FC">
        <w:rPr>
          <w:rFonts w:ascii="Didot" w:eastAsia="Arial" w:hAnsi="Didot" w:cs="Didot"/>
          <w:i/>
          <w:spacing w:val="25"/>
          <w:sz w:val="20"/>
          <w:szCs w:val="20"/>
        </w:rPr>
        <w:t xml:space="preserve"> </w:t>
      </w:r>
      <w:proofErr w:type="gramStart"/>
      <w:r w:rsidRPr="006916FC">
        <w:rPr>
          <w:rFonts w:ascii="Didot" w:eastAsia="Arial" w:hAnsi="Didot" w:cs="Didot"/>
          <w:i/>
          <w:sz w:val="20"/>
          <w:szCs w:val="20"/>
        </w:rPr>
        <w:t>Males</w:t>
      </w:r>
      <w:proofErr w:type="gramEnd"/>
      <w:r w:rsidRPr="006916FC">
        <w:rPr>
          <w:rFonts w:ascii="Didot" w:eastAsia="Arial" w:hAnsi="Didot" w:cs="Didot"/>
          <w:i/>
          <w:sz w:val="20"/>
          <w:szCs w:val="20"/>
        </w:rPr>
        <w:t xml:space="preserve"> and</w:t>
      </w:r>
      <w:r w:rsidRPr="006916FC">
        <w:rPr>
          <w:rFonts w:ascii="Didot" w:eastAsia="Arial" w:hAnsi="Didot" w:cs="Didot"/>
          <w:i/>
          <w:spacing w:val="-15"/>
          <w:sz w:val="20"/>
          <w:szCs w:val="20"/>
        </w:rPr>
        <w:t xml:space="preserve"> </w:t>
      </w:r>
      <w:r w:rsidRPr="006916FC">
        <w:rPr>
          <w:rFonts w:ascii="Didot" w:eastAsia="Arial" w:hAnsi="Didot" w:cs="Didot"/>
          <w:i/>
          <w:spacing w:val="-16"/>
          <w:w w:val="90"/>
          <w:sz w:val="20"/>
          <w:szCs w:val="20"/>
        </w:rPr>
        <w:t>F</w:t>
      </w:r>
      <w:r w:rsidRPr="006916FC">
        <w:rPr>
          <w:rFonts w:ascii="Didot" w:eastAsia="Arial" w:hAnsi="Didot" w:cs="Didot"/>
          <w:i/>
          <w:w w:val="90"/>
          <w:sz w:val="20"/>
          <w:szCs w:val="20"/>
        </w:rPr>
        <w:t>emales</w:t>
      </w:r>
      <w:r w:rsidRPr="006916FC">
        <w:rPr>
          <w:rFonts w:ascii="Didot" w:eastAsia="Arial" w:hAnsi="Didot" w:cs="Didot"/>
          <w:i/>
          <w:spacing w:val="27"/>
          <w:w w:val="90"/>
          <w:sz w:val="20"/>
          <w:szCs w:val="20"/>
        </w:rPr>
        <w:t xml:space="preserve"> </w:t>
      </w:r>
      <w:r w:rsidRPr="006916FC">
        <w:rPr>
          <w:rFonts w:ascii="Didot" w:eastAsia="Arial" w:hAnsi="Didot" w:cs="Didot"/>
          <w:i/>
          <w:sz w:val="20"/>
          <w:szCs w:val="20"/>
        </w:rPr>
        <w:t>in</w:t>
      </w:r>
      <w:r w:rsidRPr="006916FC">
        <w:rPr>
          <w:rFonts w:ascii="Didot" w:eastAsia="Arial" w:hAnsi="Didot" w:cs="Didot"/>
          <w:i/>
          <w:spacing w:val="32"/>
          <w:sz w:val="20"/>
          <w:szCs w:val="20"/>
        </w:rPr>
        <w:t xml:space="preserve"> </w:t>
      </w:r>
      <w:r w:rsidRPr="006916FC">
        <w:rPr>
          <w:rFonts w:ascii="Didot" w:eastAsia="Arial" w:hAnsi="Didot" w:cs="Didot"/>
          <w:i/>
          <w:w w:val="92"/>
          <w:sz w:val="20"/>
          <w:szCs w:val="20"/>
        </w:rPr>
        <w:t>Each</w:t>
      </w:r>
      <w:r w:rsidRPr="006916FC">
        <w:rPr>
          <w:rFonts w:ascii="Didot" w:eastAsia="Arial" w:hAnsi="Didot" w:cs="Didot"/>
          <w:i/>
          <w:spacing w:val="22"/>
          <w:w w:val="92"/>
          <w:sz w:val="20"/>
          <w:szCs w:val="20"/>
        </w:rPr>
        <w:t xml:space="preserve"> </w:t>
      </w:r>
      <w:r w:rsidRPr="006916FC">
        <w:rPr>
          <w:rFonts w:ascii="Didot" w:eastAsia="Arial" w:hAnsi="Didot" w:cs="Didot"/>
          <w:i/>
          <w:spacing w:val="-18"/>
          <w:w w:val="108"/>
          <w:sz w:val="20"/>
          <w:szCs w:val="20"/>
        </w:rPr>
        <w:t>Y</w:t>
      </w:r>
      <w:r w:rsidRPr="006916FC">
        <w:rPr>
          <w:rFonts w:ascii="Didot" w:eastAsia="Arial" w:hAnsi="Didot" w:cs="Didot"/>
          <w:i/>
          <w:spacing w:val="-12"/>
          <w:w w:val="80"/>
          <w:sz w:val="20"/>
          <w:szCs w:val="20"/>
        </w:rPr>
        <w:t>e</w:t>
      </w:r>
      <w:r w:rsidRPr="006916FC">
        <w:rPr>
          <w:rFonts w:ascii="Didot" w:eastAsia="Arial" w:hAnsi="Didot" w:cs="Didot"/>
          <w:i/>
          <w:w w:val="102"/>
          <w:sz w:val="20"/>
          <w:szCs w:val="20"/>
        </w:rPr>
        <w:t>ar</w:t>
      </w:r>
      <w:r w:rsidRPr="006916FC">
        <w:rPr>
          <w:rFonts w:ascii="Didot" w:eastAsia="Arial" w:hAnsi="Didot" w:cs="Didot"/>
          <w:i/>
          <w:spacing w:val="17"/>
          <w:sz w:val="20"/>
          <w:szCs w:val="20"/>
        </w:rPr>
        <w:t xml:space="preserve"> </w:t>
      </w:r>
      <w:r w:rsidRPr="006916FC">
        <w:rPr>
          <w:rFonts w:ascii="Didot" w:eastAsia="Arial" w:hAnsi="Didot" w:cs="Didot"/>
          <w:i/>
          <w:w w:val="89"/>
          <w:sz w:val="20"/>
          <w:szCs w:val="20"/>
        </w:rPr>
        <w:t>Betw</w:t>
      </w:r>
      <w:r w:rsidRPr="006916FC">
        <w:rPr>
          <w:rFonts w:ascii="Didot" w:eastAsia="Arial" w:hAnsi="Didot" w:cs="Didot"/>
          <w:i/>
          <w:spacing w:val="-11"/>
          <w:w w:val="89"/>
          <w:sz w:val="20"/>
          <w:szCs w:val="20"/>
        </w:rPr>
        <w:t>e</w:t>
      </w:r>
      <w:r w:rsidRPr="006916FC">
        <w:rPr>
          <w:rFonts w:ascii="Didot" w:eastAsia="Arial" w:hAnsi="Didot" w:cs="Didot"/>
          <w:i/>
          <w:w w:val="89"/>
          <w:sz w:val="20"/>
          <w:szCs w:val="20"/>
        </w:rPr>
        <w:t>en</w:t>
      </w:r>
      <w:r w:rsidRPr="006916FC">
        <w:rPr>
          <w:rFonts w:ascii="Didot" w:eastAsia="Arial" w:hAnsi="Didot" w:cs="Didot"/>
          <w:i/>
          <w:spacing w:val="36"/>
          <w:w w:val="89"/>
          <w:sz w:val="20"/>
          <w:szCs w:val="20"/>
        </w:rPr>
        <w:t xml:space="preserve"> </w:t>
      </w:r>
      <w:r w:rsidRPr="006916FC">
        <w:rPr>
          <w:rFonts w:ascii="Didot" w:eastAsia="Arial" w:hAnsi="Didot" w:cs="Didot"/>
          <w:i/>
          <w:w w:val="89"/>
          <w:sz w:val="20"/>
          <w:szCs w:val="20"/>
        </w:rPr>
        <w:t>1998</w:t>
      </w:r>
      <w:r w:rsidRPr="006916FC">
        <w:rPr>
          <w:rFonts w:ascii="Didot" w:eastAsia="Arial" w:hAnsi="Didot" w:cs="Didot"/>
          <w:i/>
          <w:spacing w:val="24"/>
          <w:w w:val="89"/>
          <w:sz w:val="20"/>
          <w:szCs w:val="20"/>
        </w:rPr>
        <w:t xml:space="preserve"> </w:t>
      </w:r>
      <w:r w:rsidRPr="006916FC">
        <w:rPr>
          <w:rFonts w:ascii="Didot" w:eastAsia="Arial" w:hAnsi="Didot" w:cs="Didot"/>
          <w:i/>
          <w:sz w:val="20"/>
          <w:szCs w:val="20"/>
        </w:rPr>
        <w:t>to</w:t>
      </w:r>
      <w:r w:rsidRPr="006916FC">
        <w:rPr>
          <w:rFonts w:ascii="Didot" w:eastAsia="Arial" w:hAnsi="Didot" w:cs="Didot"/>
          <w:i/>
          <w:spacing w:val="13"/>
          <w:sz w:val="20"/>
          <w:szCs w:val="20"/>
        </w:rPr>
        <w:t xml:space="preserve"> </w:t>
      </w:r>
      <w:r w:rsidRPr="006916FC">
        <w:rPr>
          <w:rFonts w:ascii="Didot" w:eastAsia="Arial" w:hAnsi="Didot" w:cs="Didot"/>
          <w:i/>
          <w:sz w:val="20"/>
          <w:szCs w:val="20"/>
        </w:rPr>
        <w:t>2012.</w:t>
      </w:r>
    </w:p>
    <w:p w14:paraId="3F857E19" w14:textId="77777777" w:rsidR="00B552DA" w:rsidRPr="006916FC" w:rsidRDefault="00B552DA" w:rsidP="008A7E29">
      <w:pPr>
        <w:spacing w:before="8"/>
        <w:jc w:val="both"/>
        <w:rPr>
          <w:rFonts w:ascii="Didot" w:hAnsi="Didot" w:cs="Didot"/>
        </w:rPr>
      </w:pPr>
    </w:p>
    <w:p w14:paraId="7F4361B1" w14:textId="55179351" w:rsidR="00B552DA" w:rsidRPr="006916FC" w:rsidRDefault="00BD3EFE" w:rsidP="008A7E29">
      <w:pPr>
        <w:tabs>
          <w:tab w:val="left" w:pos="9560"/>
        </w:tabs>
        <w:spacing w:before="26"/>
        <w:ind w:left="3529" w:right="-20"/>
        <w:jc w:val="both"/>
        <w:rPr>
          <w:rFonts w:ascii="Didot" w:eastAsia="Arial" w:hAnsi="Didot" w:cs="Didot"/>
          <w:sz w:val="20"/>
        </w:rPr>
      </w:pPr>
      <w:r w:rsidRPr="006916FC">
        <w:rPr>
          <w:rFonts w:ascii="Didot" w:hAnsi="Didot" w:cs="Didot"/>
          <w:noProof/>
          <w:sz w:val="20"/>
          <w:lang w:val="en-US"/>
        </w:rPr>
        <mc:AlternateContent>
          <mc:Choice Requires="wpg">
            <w:drawing>
              <wp:anchor distT="0" distB="0" distL="114300" distR="114300" simplePos="0" relativeHeight="251659264" behindDoc="1" locked="0" layoutInCell="1" allowOverlap="1" wp14:anchorId="0500CC9B" wp14:editId="171D2B6C">
                <wp:simplePos x="0" y="0"/>
                <wp:positionH relativeFrom="page">
                  <wp:posOffset>1012825</wp:posOffset>
                </wp:positionH>
                <wp:positionV relativeFrom="paragraph">
                  <wp:posOffset>-56515</wp:posOffset>
                </wp:positionV>
                <wp:extent cx="7951470" cy="1270"/>
                <wp:effectExtent l="0" t="0" r="24130" b="2413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1470" cy="1270"/>
                          <a:chOff x="1595" y="-90"/>
                          <a:chExt cx="12522" cy="2"/>
                        </a:xfrm>
                      </wpg:grpSpPr>
                      <wps:wsp>
                        <wps:cNvPr id="17" name="Freeform 3"/>
                        <wps:cNvSpPr>
                          <a:spLocks/>
                        </wps:cNvSpPr>
                        <wps:spPr bwMode="auto">
                          <a:xfrm>
                            <a:off x="1595" y="-90"/>
                            <a:ext cx="12522" cy="2"/>
                          </a:xfrm>
                          <a:custGeom>
                            <a:avLst/>
                            <a:gdLst>
                              <a:gd name="T0" fmla="+- 0 1595 1595"/>
                              <a:gd name="T1" fmla="*/ T0 w 12522"/>
                              <a:gd name="T2" fmla="+- 0 14117 1595"/>
                              <a:gd name="T3" fmla="*/ T2 w 12522"/>
                            </a:gdLst>
                            <a:ahLst/>
                            <a:cxnLst>
                              <a:cxn ang="0">
                                <a:pos x="T1" y="0"/>
                              </a:cxn>
                              <a:cxn ang="0">
                                <a:pos x="T3" y="0"/>
                              </a:cxn>
                            </a:cxnLst>
                            <a:rect l="0" t="0" r="r" b="b"/>
                            <a:pathLst>
                              <a:path w="12522">
                                <a:moveTo>
                                  <a:pt x="0" y="0"/>
                                </a:moveTo>
                                <a:lnTo>
                                  <a:pt x="12522" y="0"/>
                                </a:lnTo>
                              </a:path>
                            </a:pathLst>
                          </a:custGeom>
                          <a:noFill/>
                          <a:ln w="10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79.75pt;margin-top:-4.4pt;width:626.1pt;height:.1pt;z-index:-251657216;mso-position-horizontal-relative:page" coordorigin="1595,-90" coordsize="125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">
                <v:polyline id="Freeform 3" o:spid="_x0000_s1027" style="position:absolute;visibility:visible;mso-wrap-style:square;v-text-anchor:top" points="1595,-90,14117,-90" coordsize="125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eXOwAAA&#10;ANsAAAAPAAAAZHJzL2Rvd25yZXYueG1sRE9Li8IwEL4v+B/CCN7WVJHdUo2iQsGTUNfHdWjGttpM&#10;ShO1/nuzIHibj+85s0VnanGn1lWWFYyGEQji3OqKCwX7v/Q7BuE8ssbaMil4koPFvPc1w0TbB2d0&#10;3/lChBB2CSoovW8SKV1ekkE3tA1x4M62NegDbAupW3yEcFPLcRT9SIMVh4YSG1qXlF93N6PgdIj3&#10;Ls2Ol+0qesaTKotvqzRXatDvllMQnjr/Eb/dGx3m/8L/L+EAOX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deXOwAAAANsAAAAPAAAAAAAAAAAAAAAAAJcCAABkcnMvZG93bnJl&#10;di54bWxQSwUGAAAAAAQABAD1AAAAhAMAAAAA&#10;" filled="f" strokeweight="10109emu">
                  <v:path arrowok="t" o:connecttype="custom" o:connectlocs="0,0;12522,0" o:connectangles="0,0"/>
                </v:polyline>
                <w10:wrap anchorx="page"/>
              </v:group>
            </w:pict>
          </mc:Fallback>
        </mc:AlternateContent>
      </w:r>
      <w:r w:rsidRPr="006916FC">
        <w:rPr>
          <w:rFonts w:ascii="Didot" w:hAnsi="Didot" w:cs="Didot"/>
          <w:noProof/>
          <w:sz w:val="20"/>
          <w:lang w:val="en-US"/>
        </w:rPr>
        <mc:AlternateContent>
          <mc:Choice Requires="wpg">
            <w:drawing>
              <wp:anchor distT="0" distB="0" distL="114300" distR="114300" simplePos="0" relativeHeight="251660288" behindDoc="1" locked="0" layoutInCell="1" allowOverlap="1" wp14:anchorId="0AB602AC" wp14:editId="7776A2F8">
                <wp:simplePos x="0" y="0"/>
                <wp:positionH relativeFrom="page">
                  <wp:posOffset>1593850</wp:posOffset>
                </wp:positionH>
                <wp:positionV relativeFrom="paragraph">
                  <wp:posOffset>235585</wp:posOffset>
                </wp:positionV>
                <wp:extent cx="3615055" cy="1270"/>
                <wp:effectExtent l="0" t="0" r="17145" b="2413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055" cy="1270"/>
                          <a:chOff x="2510" y="371"/>
                          <a:chExt cx="5693" cy="2"/>
                        </a:xfrm>
                      </wpg:grpSpPr>
                      <wps:wsp>
                        <wps:cNvPr id="15" name="Freeform 5"/>
                        <wps:cNvSpPr>
                          <a:spLocks/>
                        </wps:cNvSpPr>
                        <wps:spPr bwMode="auto">
                          <a:xfrm>
                            <a:off x="2510" y="371"/>
                            <a:ext cx="5693" cy="2"/>
                          </a:xfrm>
                          <a:custGeom>
                            <a:avLst/>
                            <a:gdLst>
                              <a:gd name="T0" fmla="+- 0 2510 2510"/>
                              <a:gd name="T1" fmla="*/ T0 w 5693"/>
                              <a:gd name="T2" fmla="+- 0 8203 2510"/>
                              <a:gd name="T3" fmla="*/ T2 w 5693"/>
                            </a:gdLst>
                            <a:ahLst/>
                            <a:cxnLst>
                              <a:cxn ang="0">
                                <a:pos x="T1" y="0"/>
                              </a:cxn>
                              <a:cxn ang="0">
                                <a:pos x="T3" y="0"/>
                              </a:cxn>
                            </a:cxnLst>
                            <a:rect l="0" t="0" r="r" b="b"/>
                            <a:pathLst>
                              <a:path w="5693">
                                <a:moveTo>
                                  <a:pt x="0" y="0"/>
                                </a:moveTo>
                                <a:lnTo>
                                  <a:pt x="5693"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26" style="position:absolute;margin-left:125.5pt;margin-top:18.55pt;width:284.65pt;height:.1pt;z-index:-251656192;mso-position-horizontal-relative:page" coordorigin="2510,371" coordsize="569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">
                <v:polyline id="Freeform 5" o:spid="_x0000_s1027" style="position:absolute;visibility:visible;mso-wrap-style:square;v-text-anchor:top" points="2510,371,8203,371" coordsize="56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Vb3wQAA&#10;ANsAAAAPAAAAZHJzL2Rvd25yZXYueG1sRE9LawIxEL4X/A9hBG81q2CpW6OIKEh7aX1Aexs2093V&#10;ZLJsRt3++6ZQ8DYf33Nmi847daU21oENjIYZKOIi2JpLA4f95vEZVBRkiy4wGfihCIt572GGuQ03&#10;/qDrTkqVQjjmaKASaXKtY1GRxzgMDXHivkPrURJsS21bvKVw7/Q4y560x5pTQ4UNrSoqzruLN7B1&#10;69dOSzzGz683HSZTJ+8nZ8yg3y1fQAl1chf/u7c2zZ/A3y/pAD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VW98EAAADbAAAADwAAAAAAAAAAAAAAAACXAgAAZHJzL2Rvd25y&#10;ZXYueG1sUEsFBgAAAAAEAAQA9QAAAIUDAAAAAA==&#10;" filled="f" strokeweight="5055emu">
                  <v:path arrowok="t" o:connecttype="custom" o:connectlocs="0,0;5693,0" o:connectangles="0,0"/>
                </v:polyline>
                <w10:wrap anchorx="page"/>
              </v:group>
            </w:pict>
          </mc:Fallback>
        </mc:AlternateContent>
      </w:r>
      <w:r w:rsidRPr="006916FC">
        <w:rPr>
          <w:rFonts w:ascii="Didot" w:hAnsi="Didot" w:cs="Didot"/>
          <w:noProof/>
          <w:sz w:val="20"/>
          <w:lang w:val="en-US"/>
        </w:rPr>
        <mc:AlternateContent>
          <mc:Choice Requires="wpg">
            <w:drawing>
              <wp:anchor distT="0" distB="0" distL="114300" distR="114300" simplePos="0" relativeHeight="251661312" behindDoc="1" locked="0" layoutInCell="1" allowOverlap="1" wp14:anchorId="039138FA" wp14:editId="318F95B5">
                <wp:simplePos x="0" y="0"/>
                <wp:positionH relativeFrom="page">
                  <wp:posOffset>5360670</wp:posOffset>
                </wp:positionH>
                <wp:positionV relativeFrom="paragraph">
                  <wp:posOffset>235585</wp:posOffset>
                </wp:positionV>
                <wp:extent cx="3603625" cy="1270"/>
                <wp:effectExtent l="0" t="0" r="28575" b="2413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1270"/>
                          <a:chOff x="8442" y="371"/>
                          <a:chExt cx="5675" cy="2"/>
                        </a:xfrm>
                      </wpg:grpSpPr>
                      <wps:wsp>
                        <wps:cNvPr id="13" name="Freeform 7"/>
                        <wps:cNvSpPr>
                          <a:spLocks/>
                        </wps:cNvSpPr>
                        <wps:spPr bwMode="auto">
                          <a:xfrm>
                            <a:off x="8442" y="371"/>
                            <a:ext cx="5675" cy="2"/>
                          </a:xfrm>
                          <a:custGeom>
                            <a:avLst/>
                            <a:gdLst>
                              <a:gd name="T0" fmla="+- 0 8442 8442"/>
                              <a:gd name="T1" fmla="*/ T0 w 5675"/>
                              <a:gd name="T2" fmla="+- 0 14117 8442"/>
                              <a:gd name="T3" fmla="*/ T2 w 5675"/>
                            </a:gdLst>
                            <a:ahLst/>
                            <a:cxnLst>
                              <a:cxn ang="0">
                                <a:pos x="T1" y="0"/>
                              </a:cxn>
                              <a:cxn ang="0">
                                <a:pos x="T3" y="0"/>
                              </a:cxn>
                            </a:cxnLst>
                            <a:rect l="0" t="0" r="r" b="b"/>
                            <a:pathLst>
                              <a:path w="5675">
                                <a:moveTo>
                                  <a:pt x="0" y="0"/>
                                </a:moveTo>
                                <a:lnTo>
                                  <a:pt x="5675"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422.1pt;margin-top:18.55pt;width:283.75pt;height:.1pt;z-index:-251655168;mso-position-horizontal-relative:page" coordorigin="8442,371" coordsize="56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">
                <v:polyline id="Freeform 7" o:spid="_x0000_s1027" style="position:absolute;visibility:visible;mso-wrap-style:square;v-text-anchor:top" points="8442,371,14117,371" coordsize="56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XlpCwQAA&#10;ANsAAAAPAAAAZHJzL2Rvd25yZXYueG1sRE9Li8IwEL4L/ocwghfRRBd2tRpFBMFl8eAL9DY0Y1ts&#10;JqWJWv+9WVjY23x8z5ktGluKB9W+cKxhOFAgiFNnCs40HA/r/hiED8gGS8ek4UUeFvN2a4aJcU/e&#10;0WMfMhFD2CeoIQ+hSqT0aU4W/cBVxJG7utpiiLDOpKnxGcNtKUdKfUqLBceGHCta5ZTe9ner4Swv&#10;vbVaKrX9+qkmk9PW7Ypvp3W30yynIAI14V/8596YOP8Dfn+JB8j5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F5aQsEAAADbAAAADwAAAAAAAAAAAAAAAACXAgAAZHJzL2Rvd25y&#10;ZXYueG1sUEsFBgAAAAAEAAQA9QAAAIUDAAAAAA==&#10;" filled="f" strokeweight="5055emu">
                  <v:path arrowok="t" o:connecttype="custom" o:connectlocs="0,0;5675,0" o:connectangles="0,0"/>
                </v:polyline>
                <w10:wrap anchorx="page"/>
              </v:group>
            </w:pict>
          </mc:Fallback>
        </mc:AlternateContent>
      </w:r>
      <w:r w:rsidR="00B552DA" w:rsidRPr="006916FC">
        <w:rPr>
          <w:rFonts w:ascii="Didot" w:eastAsia="Arial" w:hAnsi="Didot" w:cs="Didot"/>
          <w:b/>
          <w:bCs/>
          <w:position w:val="-1"/>
          <w:sz w:val="20"/>
        </w:rPr>
        <w:t>Homicides</w:t>
      </w:r>
      <w:r w:rsidR="00B552DA" w:rsidRPr="006916FC">
        <w:rPr>
          <w:rFonts w:ascii="Didot" w:eastAsia="Arial" w:hAnsi="Didot" w:cs="Didot"/>
          <w:b/>
          <w:bCs/>
          <w:spacing w:val="-50"/>
          <w:position w:val="-1"/>
          <w:sz w:val="20"/>
        </w:rPr>
        <w:t xml:space="preserve"> </w:t>
      </w:r>
      <w:r w:rsidR="00B552DA" w:rsidRPr="006916FC">
        <w:rPr>
          <w:rFonts w:ascii="Didot" w:eastAsia="Arial" w:hAnsi="Didot" w:cs="Didot"/>
          <w:b/>
          <w:bCs/>
          <w:position w:val="-1"/>
          <w:sz w:val="20"/>
        </w:rPr>
        <w:tab/>
        <w:t>Suicides</w:t>
      </w:r>
    </w:p>
    <w:p w14:paraId="5707B09F" w14:textId="77777777" w:rsidR="00B552DA" w:rsidRPr="006916FC" w:rsidRDefault="00B552DA" w:rsidP="008A7E29">
      <w:pPr>
        <w:spacing w:before="10"/>
        <w:jc w:val="both"/>
        <w:rPr>
          <w:rFonts w:ascii="Didot" w:hAnsi="Didot" w:cs="Didot"/>
          <w:sz w:val="14"/>
          <w:szCs w:val="16"/>
        </w:rPr>
      </w:pPr>
    </w:p>
    <w:p w14:paraId="5D0F9E33" w14:textId="10AEDBA3" w:rsidR="00B552DA" w:rsidRPr="006916FC" w:rsidRDefault="00BD3EFE" w:rsidP="008A7E29">
      <w:pPr>
        <w:tabs>
          <w:tab w:val="left" w:pos="5200"/>
          <w:tab w:val="left" w:pos="8260"/>
          <w:tab w:val="left" w:pos="11120"/>
        </w:tabs>
        <w:spacing w:before="27"/>
        <w:ind w:left="2345" w:right="-20"/>
        <w:jc w:val="both"/>
        <w:rPr>
          <w:rFonts w:ascii="Didot" w:eastAsia="Arial" w:hAnsi="Didot" w:cs="Didot"/>
          <w:sz w:val="20"/>
        </w:rPr>
      </w:pPr>
      <w:r w:rsidRPr="006916FC">
        <w:rPr>
          <w:rFonts w:ascii="Didot" w:hAnsi="Didot" w:cs="Didot"/>
          <w:noProof/>
          <w:sz w:val="20"/>
          <w:lang w:val="en-US"/>
        </w:rPr>
        <mc:AlternateContent>
          <mc:Choice Requires="wpg">
            <w:drawing>
              <wp:anchor distT="0" distB="0" distL="114300" distR="114300" simplePos="0" relativeHeight="251662336" behindDoc="1" locked="0" layoutInCell="1" allowOverlap="1" wp14:anchorId="75437163" wp14:editId="775B9D4F">
                <wp:simplePos x="0" y="0"/>
                <wp:positionH relativeFrom="page">
                  <wp:posOffset>1593850</wp:posOffset>
                </wp:positionH>
                <wp:positionV relativeFrom="paragraph">
                  <wp:posOffset>236220</wp:posOffset>
                </wp:positionV>
                <wp:extent cx="1741170" cy="1270"/>
                <wp:effectExtent l="0" t="0" r="36830" b="2413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270"/>
                          <a:chOff x="2510" y="372"/>
                          <a:chExt cx="2742" cy="2"/>
                        </a:xfrm>
                      </wpg:grpSpPr>
                      <wps:wsp>
                        <wps:cNvPr id="11" name="Freeform 9"/>
                        <wps:cNvSpPr>
                          <a:spLocks/>
                        </wps:cNvSpPr>
                        <wps:spPr bwMode="auto">
                          <a:xfrm>
                            <a:off x="2510" y="372"/>
                            <a:ext cx="2742" cy="2"/>
                          </a:xfrm>
                          <a:custGeom>
                            <a:avLst/>
                            <a:gdLst>
                              <a:gd name="T0" fmla="+- 0 2510 2510"/>
                              <a:gd name="T1" fmla="*/ T0 w 2742"/>
                              <a:gd name="T2" fmla="+- 0 5252 2510"/>
                              <a:gd name="T3" fmla="*/ T2 w 2742"/>
                            </a:gdLst>
                            <a:ahLst/>
                            <a:cxnLst>
                              <a:cxn ang="0">
                                <a:pos x="T1" y="0"/>
                              </a:cxn>
                              <a:cxn ang="0">
                                <a:pos x="T3" y="0"/>
                              </a:cxn>
                            </a:cxnLst>
                            <a:rect l="0" t="0" r="r" b="b"/>
                            <a:pathLst>
                              <a:path w="2742">
                                <a:moveTo>
                                  <a:pt x="0" y="0"/>
                                </a:moveTo>
                                <a:lnTo>
                                  <a:pt x="274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25.5pt;margin-top:18.6pt;width:137.1pt;height:.1pt;z-index:-251654144;mso-position-horizontal-relative:page" coordorigin="2510,372" coordsize="27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">
                <v:polyline id="Freeform 9" o:spid="_x0000_s1027" style="position:absolute;visibility:visible;mso-wrap-style:square;v-text-anchor:top" points="2510,372,5252,372" coordsize="27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j6+wAAA&#10;ANsAAAAPAAAAZHJzL2Rvd25yZXYueG1sRE9Li8IwEL4L/ocwgjdN3YNINYoIgnsRX8vibWzGtthM&#10;ahNt9t9vBMHbfHzPmS2CqcSTGldaVjAaJiCIM6tLzhWcjuvBBITzyBory6Tgjxws5t3ODFNtW97T&#10;8+BzEUPYpaig8L5OpXRZQQbd0NbEkbvaxqCPsMmlbrCN4aaSX0kylgZLjg0F1rQqKLsdHkaBu67t&#10;5uyX2+92e/8JlweHXfKrVL8XllMQnoL/iN/ujY7zR/D6JR4g5/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Yj6+wAAAANsAAAAPAAAAAAAAAAAAAAAAAJcCAABkcnMvZG93bnJl&#10;di54bWxQSwUGAAAAAAQABAD1AAAAhAMAAAAA&#10;" filled="f" strokeweight="5055emu">
                  <v:path arrowok="t" o:connecttype="custom" o:connectlocs="0,0;2742,0" o:connectangles="0,0"/>
                </v:polyline>
                <w10:wrap anchorx="page"/>
              </v:group>
            </w:pict>
          </mc:Fallback>
        </mc:AlternateContent>
      </w:r>
      <w:r w:rsidRPr="006916FC">
        <w:rPr>
          <w:rFonts w:ascii="Didot" w:hAnsi="Didot" w:cs="Didot"/>
          <w:noProof/>
          <w:sz w:val="20"/>
          <w:lang w:val="en-US"/>
        </w:rPr>
        <mc:AlternateContent>
          <mc:Choice Requires="wpg">
            <w:drawing>
              <wp:anchor distT="0" distB="0" distL="114300" distR="114300" simplePos="0" relativeHeight="251663360" behindDoc="1" locked="0" layoutInCell="1" allowOverlap="1" wp14:anchorId="3761E076" wp14:editId="566D7CE7">
                <wp:simplePos x="0" y="0"/>
                <wp:positionH relativeFrom="page">
                  <wp:posOffset>3486785</wp:posOffset>
                </wp:positionH>
                <wp:positionV relativeFrom="paragraph">
                  <wp:posOffset>236220</wp:posOffset>
                </wp:positionV>
                <wp:extent cx="1722120" cy="1270"/>
                <wp:effectExtent l="0" t="0" r="30480" b="2413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70"/>
                          <a:chOff x="5491" y="372"/>
                          <a:chExt cx="2712" cy="2"/>
                        </a:xfrm>
                      </wpg:grpSpPr>
                      <wps:wsp>
                        <wps:cNvPr id="9" name="Freeform 11"/>
                        <wps:cNvSpPr>
                          <a:spLocks/>
                        </wps:cNvSpPr>
                        <wps:spPr bwMode="auto">
                          <a:xfrm>
                            <a:off x="5491" y="372"/>
                            <a:ext cx="2712" cy="2"/>
                          </a:xfrm>
                          <a:custGeom>
                            <a:avLst/>
                            <a:gdLst>
                              <a:gd name="T0" fmla="+- 0 5491 5491"/>
                              <a:gd name="T1" fmla="*/ T0 w 2712"/>
                              <a:gd name="T2" fmla="+- 0 8203 5491"/>
                              <a:gd name="T3" fmla="*/ T2 w 2712"/>
                            </a:gdLst>
                            <a:ahLst/>
                            <a:cxnLst>
                              <a:cxn ang="0">
                                <a:pos x="T1" y="0"/>
                              </a:cxn>
                              <a:cxn ang="0">
                                <a:pos x="T3" y="0"/>
                              </a:cxn>
                            </a:cxnLst>
                            <a:rect l="0" t="0" r="r" b="b"/>
                            <a:pathLst>
                              <a:path w="2712">
                                <a:moveTo>
                                  <a:pt x="0" y="0"/>
                                </a:moveTo>
                                <a:lnTo>
                                  <a:pt x="271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274.55pt;margin-top:18.6pt;width:135.6pt;height:.1pt;z-index:-251653120;mso-position-horizontal-relative:page" coordorigin="5491,372" coordsize="27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">
                <v:polyline id="Freeform 11" o:spid="_x0000_s1027" style="position:absolute;visibility:visible;mso-wrap-style:square;v-text-anchor:top" points="5491,372,8203,372" coordsize="27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TP3wwgAA&#10;ANoAAAAPAAAAZHJzL2Rvd25yZXYueG1sRI9Bi8IwFITvwv6H8Bb2pumqiFajyILgoQi2gtdH82yK&#10;zUtpou3++82C4HGYmW+YzW6wjXhS52vHCr4nCQji0umaKwWX4jBegvABWWPjmBT8kofd9mO0wVS7&#10;ns/0zEMlIoR9igpMCG0qpS8NWfQT1xJH7+Y6iyHKrpK6wz7CbSOnSbKQFmuOCwZb+jFU3vOHVVDP&#10;s31+mvUzfz1lmSku0+M8t0p9fQ77NYhAQ3iHX+2jVrCC/yvxBs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M/fDCAAAA2gAAAA8AAAAAAAAAAAAAAAAAlwIAAGRycy9kb3du&#10;cmV2LnhtbFBLBQYAAAAABAAEAPUAAACGAwAAAAA=&#10;" filled="f" strokeweight="5055emu">
                  <v:path arrowok="t" o:connecttype="custom" o:connectlocs="0,0;2712,0" o:connectangles="0,0"/>
                </v:polyline>
                <w10:wrap anchorx="page"/>
              </v:group>
            </w:pict>
          </mc:Fallback>
        </mc:AlternateContent>
      </w:r>
      <w:r w:rsidRPr="006916FC">
        <w:rPr>
          <w:rFonts w:ascii="Didot" w:hAnsi="Didot" w:cs="Didot"/>
          <w:noProof/>
          <w:sz w:val="20"/>
          <w:lang w:val="en-US"/>
        </w:rPr>
        <mc:AlternateContent>
          <mc:Choice Requires="wpg">
            <w:drawing>
              <wp:anchor distT="0" distB="0" distL="114300" distR="114300" simplePos="0" relativeHeight="251664384" behindDoc="1" locked="0" layoutInCell="1" allowOverlap="1" wp14:anchorId="40ECE303" wp14:editId="266635CD">
                <wp:simplePos x="0" y="0"/>
                <wp:positionH relativeFrom="page">
                  <wp:posOffset>5360670</wp:posOffset>
                </wp:positionH>
                <wp:positionV relativeFrom="paragraph">
                  <wp:posOffset>236220</wp:posOffset>
                </wp:positionV>
                <wp:extent cx="1729740" cy="1270"/>
                <wp:effectExtent l="0" t="0" r="22860" b="2413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1270"/>
                          <a:chOff x="8442" y="372"/>
                          <a:chExt cx="2724" cy="2"/>
                        </a:xfrm>
                      </wpg:grpSpPr>
                      <wps:wsp>
                        <wps:cNvPr id="7" name="Freeform 13"/>
                        <wps:cNvSpPr>
                          <a:spLocks/>
                        </wps:cNvSpPr>
                        <wps:spPr bwMode="auto">
                          <a:xfrm>
                            <a:off x="8442" y="372"/>
                            <a:ext cx="2724" cy="2"/>
                          </a:xfrm>
                          <a:custGeom>
                            <a:avLst/>
                            <a:gdLst>
                              <a:gd name="T0" fmla="+- 0 8442 8442"/>
                              <a:gd name="T1" fmla="*/ T0 w 2724"/>
                              <a:gd name="T2" fmla="+- 0 11166 8442"/>
                              <a:gd name="T3" fmla="*/ T2 w 2724"/>
                            </a:gdLst>
                            <a:ahLst/>
                            <a:cxnLst>
                              <a:cxn ang="0">
                                <a:pos x="T1" y="0"/>
                              </a:cxn>
                              <a:cxn ang="0">
                                <a:pos x="T3" y="0"/>
                              </a:cxn>
                            </a:cxnLst>
                            <a:rect l="0" t="0" r="r" b="b"/>
                            <a:pathLst>
                              <a:path w="2724">
                                <a:moveTo>
                                  <a:pt x="0" y="0"/>
                                </a:moveTo>
                                <a:lnTo>
                                  <a:pt x="2724"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422.1pt;margin-top:18.6pt;width:136.2pt;height:.1pt;z-index:-251652096;mso-position-horizontal-relative:page" coordorigin="8442,372" coordsize="27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">
                <v:polyline id="Freeform 13" o:spid="_x0000_s1027" style="position:absolute;visibility:visible;mso-wrap-style:square;v-text-anchor:top" points="8442,372,11166,372" coordsize="27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N3uwAAA&#10;ANoAAAAPAAAAZHJzL2Rvd25yZXYueG1sRI/disIwFITvBd8hHME7TVXwp2sUFRYUvLH6AIfmbNvd&#10;5qQk2Vrf3giCl8PMfMOst52pRUvOV5YVTMYJCOLc6ooLBbfr92gJwgdkjbVlUvAgD9tNv7fGVNs7&#10;X6jNQiEihH2KCsoQmlRKn5dk0I9tQxy9H+sMhihdIbXDe4SbWk6TZC4NVhwXSmzoUFL+l/0bBe2v&#10;k27FC0vTZHfuTodLNjvulRoOut0XiEBd+ITf7aNWsIDXlXg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bN3uwAAAANoAAAAPAAAAAAAAAAAAAAAAAJcCAABkcnMvZG93bnJl&#10;di54bWxQSwUGAAAAAAQABAD1AAAAhAMAAAAA&#10;" filled="f" strokeweight="5055emu">
                  <v:path arrowok="t" o:connecttype="custom" o:connectlocs="0,0;2724,0" o:connectangles="0,0"/>
                </v:polyline>
                <w10:wrap anchorx="page"/>
              </v:group>
            </w:pict>
          </mc:Fallback>
        </mc:AlternateContent>
      </w:r>
      <w:r w:rsidRPr="006916FC">
        <w:rPr>
          <w:rFonts w:ascii="Didot" w:hAnsi="Didot" w:cs="Didot"/>
          <w:noProof/>
          <w:sz w:val="20"/>
          <w:lang w:val="en-US"/>
        </w:rPr>
        <mc:AlternateContent>
          <mc:Choice Requires="wpg">
            <w:drawing>
              <wp:anchor distT="0" distB="0" distL="114300" distR="114300" simplePos="0" relativeHeight="251665408" behindDoc="1" locked="0" layoutInCell="1" allowOverlap="1" wp14:anchorId="5ACDC341" wp14:editId="4CC6C0E4">
                <wp:simplePos x="0" y="0"/>
                <wp:positionH relativeFrom="page">
                  <wp:posOffset>7242175</wp:posOffset>
                </wp:positionH>
                <wp:positionV relativeFrom="paragraph">
                  <wp:posOffset>236220</wp:posOffset>
                </wp:positionV>
                <wp:extent cx="1722120" cy="1270"/>
                <wp:effectExtent l="0" t="0" r="30480" b="2413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70"/>
                          <a:chOff x="11405" y="372"/>
                          <a:chExt cx="2712" cy="2"/>
                        </a:xfrm>
                      </wpg:grpSpPr>
                      <wps:wsp>
                        <wps:cNvPr id="5" name="Freeform 15"/>
                        <wps:cNvSpPr>
                          <a:spLocks/>
                        </wps:cNvSpPr>
                        <wps:spPr bwMode="auto">
                          <a:xfrm>
                            <a:off x="11405" y="372"/>
                            <a:ext cx="2712" cy="2"/>
                          </a:xfrm>
                          <a:custGeom>
                            <a:avLst/>
                            <a:gdLst>
                              <a:gd name="T0" fmla="+- 0 11405 11405"/>
                              <a:gd name="T1" fmla="*/ T0 w 2712"/>
                              <a:gd name="T2" fmla="+- 0 14117 11405"/>
                              <a:gd name="T3" fmla="*/ T2 w 2712"/>
                            </a:gdLst>
                            <a:ahLst/>
                            <a:cxnLst>
                              <a:cxn ang="0">
                                <a:pos x="T1" y="0"/>
                              </a:cxn>
                              <a:cxn ang="0">
                                <a:pos x="T3" y="0"/>
                              </a:cxn>
                            </a:cxnLst>
                            <a:rect l="0" t="0" r="r" b="b"/>
                            <a:pathLst>
                              <a:path w="2712">
                                <a:moveTo>
                                  <a:pt x="0" y="0"/>
                                </a:moveTo>
                                <a:lnTo>
                                  <a:pt x="271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70.25pt;margin-top:18.6pt;width:135.6pt;height:.1pt;z-index:-251651072;mso-position-horizontal-relative:page" coordorigin="11405,372" coordsize="27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">
                <v:polyline id="Freeform 15" o:spid="_x0000_s1027" style="position:absolute;visibility:visible;mso-wrap-style:square;v-text-anchor:top" points="11405,372,14117,372" coordsize="27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Aff1wgAA&#10;ANoAAAAPAAAAZHJzL2Rvd25yZXYueG1sRI9Pi8IwFMTvwn6H8Bb2pun6D6lGkQXBQxFsBa+P5tkU&#10;m5fSRNv99psFweMwM79hNrvBNuJJna8dK/ieJCCIS6drrhRcisN4BcIHZI2NY1LwSx5224/RBlPt&#10;ej7TMw+ViBD2KSowIbSplL40ZNFPXEscvZvrLIYou0rqDvsIt42cJslSWqw5Lhhs6cdQec8fVkE9&#10;z/b5adbP/PWUZaa4TI/z3Cr19Tns1yACDeEdfrWPWsEC/q/EG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B9/XCAAAA2gAAAA8AAAAAAAAAAAAAAAAAlwIAAGRycy9kb3du&#10;cmV2LnhtbFBLBQYAAAAABAAEAPUAAACGAwAAAAA=&#10;" filled="f" strokeweight="5055emu">
                  <v:path arrowok="t" o:connecttype="custom" o:connectlocs="0,0;2712,0" o:connectangles="0,0"/>
                </v:polyline>
                <w10:wrap anchorx="page"/>
              </v:group>
            </w:pict>
          </mc:Fallback>
        </mc:AlternateContent>
      </w:r>
      <w:proofErr w:type="gramStart"/>
      <w:r w:rsidR="00B552DA" w:rsidRPr="006916FC">
        <w:rPr>
          <w:rFonts w:ascii="Didot" w:eastAsia="Arial" w:hAnsi="Didot" w:cs="Didot"/>
          <w:position w:val="-1"/>
          <w:sz w:val="20"/>
        </w:rPr>
        <w:t>Males</w:t>
      </w:r>
      <w:proofErr w:type="gramEnd"/>
      <w:r w:rsidR="00B552DA" w:rsidRPr="006916FC">
        <w:rPr>
          <w:rFonts w:ascii="Didot" w:eastAsia="Arial" w:hAnsi="Didot" w:cs="Didot"/>
          <w:position w:val="-1"/>
          <w:sz w:val="20"/>
        </w:rPr>
        <w:tab/>
      </w:r>
      <w:r w:rsidR="00B552DA" w:rsidRPr="006916FC">
        <w:rPr>
          <w:rFonts w:ascii="Didot" w:eastAsia="Arial" w:hAnsi="Didot" w:cs="Didot"/>
          <w:spacing w:val="-16"/>
          <w:w w:val="91"/>
          <w:position w:val="-1"/>
          <w:sz w:val="20"/>
        </w:rPr>
        <w:t>F</w:t>
      </w:r>
      <w:r w:rsidR="00B552DA" w:rsidRPr="006916FC">
        <w:rPr>
          <w:rFonts w:ascii="Didot" w:eastAsia="Arial" w:hAnsi="Didot" w:cs="Didot"/>
          <w:w w:val="91"/>
          <w:position w:val="-1"/>
          <w:sz w:val="20"/>
        </w:rPr>
        <w:t>emales</w:t>
      </w:r>
      <w:r w:rsidR="00B552DA" w:rsidRPr="006916FC">
        <w:rPr>
          <w:rFonts w:ascii="Didot" w:eastAsia="Arial" w:hAnsi="Didot" w:cs="Didot"/>
          <w:spacing w:val="-54"/>
          <w:w w:val="91"/>
          <w:position w:val="-1"/>
          <w:sz w:val="20"/>
        </w:rPr>
        <w:t xml:space="preserve"> </w:t>
      </w:r>
      <w:r w:rsidR="00B552DA" w:rsidRPr="006916FC">
        <w:rPr>
          <w:rFonts w:ascii="Didot" w:eastAsia="Arial" w:hAnsi="Didot" w:cs="Didot"/>
          <w:position w:val="-1"/>
          <w:sz w:val="20"/>
        </w:rPr>
        <w:tab/>
        <w:t>Males</w:t>
      </w:r>
      <w:r w:rsidR="00B552DA" w:rsidRPr="006916FC">
        <w:rPr>
          <w:rFonts w:ascii="Didot" w:eastAsia="Arial" w:hAnsi="Didot" w:cs="Didot"/>
          <w:position w:val="-1"/>
          <w:sz w:val="20"/>
        </w:rPr>
        <w:tab/>
      </w:r>
      <w:r w:rsidR="00B552DA" w:rsidRPr="006916FC">
        <w:rPr>
          <w:rFonts w:ascii="Didot" w:eastAsia="Arial" w:hAnsi="Didot" w:cs="Didot"/>
          <w:spacing w:val="-18"/>
          <w:w w:val="105"/>
          <w:position w:val="-1"/>
          <w:sz w:val="20"/>
        </w:rPr>
        <w:t>F</w:t>
      </w:r>
      <w:r w:rsidR="00B552DA" w:rsidRPr="006916FC">
        <w:rPr>
          <w:rFonts w:ascii="Didot" w:eastAsia="Arial" w:hAnsi="Didot" w:cs="Didot"/>
          <w:w w:val="79"/>
          <w:position w:val="-1"/>
          <w:sz w:val="20"/>
        </w:rPr>
        <w:t>e</w:t>
      </w:r>
      <w:r w:rsidR="00B552DA" w:rsidRPr="006916FC">
        <w:rPr>
          <w:rFonts w:ascii="Didot" w:eastAsia="Arial" w:hAnsi="Didot" w:cs="Didot"/>
          <w:w w:val="91"/>
          <w:position w:val="-1"/>
          <w:sz w:val="20"/>
        </w:rPr>
        <w:t>males</w:t>
      </w:r>
    </w:p>
    <w:p w14:paraId="3B34ED95" w14:textId="77777777" w:rsidR="00B552DA" w:rsidRPr="006916FC" w:rsidRDefault="00B552DA" w:rsidP="008A7E29">
      <w:pPr>
        <w:jc w:val="both"/>
        <w:rPr>
          <w:rFonts w:ascii="Didot" w:hAnsi="Didot" w:cs="Didot"/>
          <w:sz w:val="16"/>
          <w:szCs w:val="17"/>
        </w:rPr>
      </w:pPr>
    </w:p>
    <w:p w14:paraId="788B4BE9" w14:textId="77777777" w:rsidR="00B552DA" w:rsidRPr="006916FC" w:rsidRDefault="00B552DA" w:rsidP="008A7E29">
      <w:pPr>
        <w:tabs>
          <w:tab w:val="left" w:pos="1360"/>
          <w:tab w:val="left" w:pos="2660"/>
          <w:tab w:val="left" w:pos="4340"/>
          <w:tab w:val="left" w:pos="5620"/>
          <w:tab w:val="left" w:pos="7300"/>
          <w:tab w:val="left" w:pos="8580"/>
          <w:tab w:val="left" w:pos="10260"/>
          <w:tab w:val="left" w:pos="11540"/>
        </w:tabs>
        <w:spacing w:before="27"/>
        <w:ind w:left="455" w:right="-20"/>
        <w:jc w:val="both"/>
        <w:rPr>
          <w:rFonts w:ascii="Didot" w:eastAsia="Arial" w:hAnsi="Didot" w:cs="Didot"/>
          <w:sz w:val="20"/>
        </w:rPr>
      </w:pPr>
      <w:r w:rsidRPr="006916FC">
        <w:rPr>
          <w:rFonts w:ascii="Didot" w:eastAsia="Arial" w:hAnsi="Didot" w:cs="Didot"/>
          <w:spacing w:val="-18"/>
          <w:position w:val="-1"/>
          <w:sz w:val="20"/>
        </w:rPr>
        <w:t>Y</w:t>
      </w:r>
      <w:r w:rsidRPr="006916FC">
        <w:rPr>
          <w:rFonts w:ascii="Didot" w:eastAsia="Arial" w:hAnsi="Didot" w:cs="Didot"/>
          <w:position w:val="-1"/>
          <w:sz w:val="20"/>
        </w:rPr>
        <w:t>ear</w:t>
      </w:r>
      <w:r w:rsidRPr="006916FC">
        <w:rPr>
          <w:rFonts w:ascii="Didot" w:eastAsia="Arial" w:hAnsi="Didot" w:cs="Didot"/>
          <w:position w:val="-1"/>
          <w:sz w:val="20"/>
        </w:rPr>
        <w:tab/>
      </w:r>
      <w:r w:rsidRPr="006916FC">
        <w:rPr>
          <w:rFonts w:ascii="Didot" w:eastAsia="Arial" w:hAnsi="Didot" w:cs="Didot"/>
          <w:spacing w:val="-6"/>
          <w:position w:val="-1"/>
          <w:sz w:val="20"/>
        </w:rPr>
        <w:t>P</w:t>
      </w:r>
      <w:r w:rsidRPr="006916FC">
        <w:rPr>
          <w:rFonts w:ascii="Didot" w:eastAsia="Arial" w:hAnsi="Didot" w:cs="Didot"/>
          <w:position w:val="-1"/>
          <w:sz w:val="20"/>
        </w:rPr>
        <w:t>opulation</w:t>
      </w:r>
      <w:r w:rsidRPr="006916FC">
        <w:rPr>
          <w:rFonts w:ascii="Didot" w:eastAsia="Arial" w:hAnsi="Didot" w:cs="Didot"/>
          <w:position w:val="-1"/>
          <w:sz w:val="20"/>
        </w:rPr>
        <w:tab/>
      </w:r>
      <w:r w:rsidRPr="006916FC">
        <w:rPr>
          <w:rFonts w:ascii="Didot" w:eastAsia="Arial" w:hAnsi="Didot" w:cs="Didot"/>
          <w:spacing w:val="-60"/>
          <w:position w:val="-1"/>
          <w:sz w:val="20"/>
        </w:rPr>
        <w:t xml:space="preserve"> </w:t>
      </w:r>
      <w:r w:rsidRPr="006916FC">
        <w:rPr>
          <w:rFonts w:ascii="Didot" w:eastAsia="Arial" w:hAnsi="Didot" w:cs="Didot"/>
          <w:w w:val="96"/>
          <w:position w:val="-1"/>
          <w:sz w:val="20"/>
        </w:rPr>
        <w:t>Cou</w:t>
      </w:r>
      <w:r w:rsidRPr="006916FC">
        <w:rPr>
          <w:rFonts w:ascii="Didot" w:eastAsia="Arial" w:hAnsi="Didot" w:cs="Didot"/>
          <w:spacing w:val="-6"/>
          <w:w w:val="96"/>
          <w:position w:val="-1"/>
          <w:sz w:val="20"/>
        </w:rPr>
        <w:t>n</w:t>
      </w:r>
      <w:r w:rsidRPr="006916FC">
        <w:rPr>
          <w:rFonts w:ascii="Didot" w:eastAsia="Arial" w:hAnsi="Didot" w:cs="Didot"/>
          <w:w w:val="138"/>
          <w:position w:val="-1"/>
          <w:sz w:val="20"/>
        </w:rPr>
        <w:t>t</w:t>
      </w:r>
      <w:r w:rsidRPr="006916FC">
        <w:rPr>
          <w:rFonts w:ascii="Didot" w:eastAsia="Arial" w:hAnsi="Didot" w:cs="Didot"/>
          <w:spacing w:val="11"/>
          <w:position w:val="-1"/>
          <w:sz w:val="20"/>
        </w:rPr>
        <w:t xml:space="preserve"> </w:t>
      </w:r>
      <w:r w:rsidRPr="006916FC">
        <w:rPr>
          <w:rFonts w:ascii="Didot" w:eastAsia="Arial" w:hAnsi="Didot" w:cs="Didot"/>
          <w:position w:val="-1"/>
          <w:sz w:val="20"/>
        </w:rPr>
        <w:t>(rate)</w:t>
      </w:r>
      <w:r w:rsidRPr="006916FC">
        <w:rPr>
          <w:rFonts w:ascii="Didot" w:eastAsia="Arial" w:hAnsi="Didot" w:cs="Didot"/>
          <w:spacing w:val="-45"/>
          <w:position w:val="-1"/>
          <w:sz w:val="20"/>
        </w:rPr>
        <w:t xml:space="preserve"> </w:t>
      </w:r>
      <w:r w:rsidRPr="006916FC">
        <w:rPr>
          <w:rFonts w:ascii="Didot" w:eastAsia="Arial" w:hAnsi="Didot" w:cs="Didot"/>
          <w:position w:val="-1"/>
          <w:sz w:val="20"/>
        </w:rPr>
        <w:tab/>
      </w:r>
      <w:r w:rsidRPr="006916FC">
        <w:rPr>
          <w:rFonts w:ascii="Didot" w:eastAsia="Arial" w:hAnsi="Didot" w:cs="Didot"/>
          <w:spacing w:val="-6"/>
          <w:position w:val="-1"/>
          <w:sz w:val="20"/>
        </w:rPr>
        <w:t>P</w:t>
      </w:r>
      <w:r w:rsidRPr="006916FC">
        <w:rPr>
          <w:rFonts w:ascii="Didot" w:eastAsia="Arial" w:hAnsi="Didot" w:cs="Didot"/>
          <w:position w:val="-1"/>
          <w:sz w:val="20"/>
        </w:rPr>
        <w:t>opulation</w:t>
      </w:r>
      <w:r w:rsidRPr="006916FC">
        <w:rPr>
          <w:rFonts w:ascii="Didot" w:eastAsia="Arial" w:hAnsi="Didot" w:cs="Didot"/>
          <w:position w:val="-1"/>
          <w:sz w:val="20"/>
        </w:rPr>
        <w:tab/>
      </w:r>
      <w:r w:rsidRPr="006916FC">
        <w:rPr>
          <w:rFonts w:ascii="Didot" w:eastAsia="Arial" w:hAnsi="Didot" w:cs="Didot"/>
          <w:spacing w:val="-60"/>
          <w:position w:val="-1"/>
          <w:sz w:val="20"/>
        </w:rPr>
        <w:t xml:space="preserve"> </w:t>
      </w:r>
      <w:r w:rsidRPr="006916FC">
        <w:rPr>
          <w:rFonts w:ascii="Didot" w:eastAsia="Arial" w:hAnsi="Didot" w:cs="Didot"/>
          <w:w w:val="96"/>
          <w:position w:val="-1"/>
          <w:sz w:val="20"/>
        </w:rPr>
        <w:t>Cou</w:t>
      </w:r>
      <w:r w:rsidRPr="006916FC">
        <w:rPr>
          <w:rFonts w:ascii="Didot" w:eastAsia="Arial" w:hAnsi="Didot" w:cs="Didot"/>
          <w:spacing w:val="-6"/>
          <w:w w:val="96"/>
          <w:position w:val="-1"/>
          <w:sz w:val="20"/>
        </w:rPr>
        <w:t>n</w:t>
      </w:r>
      <w:r w:rsidRPr="006916FC">
        <w:rPr>
          <w:rFonts w:ascii="Didot" w:eastAsia="Arial" w:hAnsi="Didot" w:cs="Didot"/>
          <w:w w:val="138"/>
          <w:position w:val="-1"/>
          <w:sz w:val="20"/>
        </w:rPr>
        <w:t>t</w:t>
      </w:r>
      <w:r w:rsidRPr="006916FC">
        <w:rPr>
          <w:rFonts w:ascii="Didot" w:eastAsia="Arial" w:hAnsi="Didot" w:cs="Didot"/>
          <w:position w:val="-1"/>
          <w:sz w:val="20"/>
        </w:rPr>
        <w:t xml:space="preserve"> (rate)</w:t>
      </w:r>
      <w:r w:rsidRPr="006916FC">
        <w:rPr>
          <w:rFonts w:ascii="Didot" w:eastAsia="Arial" w:hAnsi="Didot" w:cs="Didot"/>
          <w:spacing w:val="-45"/>
          <w:position w:val="-1"/>
          <w:sz w:val="20"/>
        </w:rPr>
        <w:t xml:space="preserve"> </w:t>
      </w:r>
      <w:r w:rsidRPr="006916FC">
        <w:rPr>
          <w:rFonts w:ascii="Didot" w:eastAsia="Arial" w:hAnsi="Didot" w:cs="Didot"/>
          <w:position w:val="-1"/>
          <w:sz w:val="20"/>
        </w:rPr>
        <w:tab/>
      </w:r>
      <w:r w:rsidRPr="006916FC">
        <w:rPr>
          <w:rFonts w:ascii="Didot" w:eastAsia="Arial" w:hAnsi="Didot" w:cs="Didot"/>
          <w:spacing w:val="-6"/>
          <w:position w:val="-1"/>
          <w:sz w:val="20"/>
        </w:rPr>
        <w:t>P</w:t>
      </w:r>
      <w:r w:rsidRPr="006916FC">
        <w:rPr>
          <w:rFonts w:ascii="Didot" w:eastAsia="Arial" w:hAnsi="Didot" w:cs="Didot"/>
          <w:position w:val="-1"/>
          <w:sz w:val="20"/>
        </w:rPr>
        <w:t>opulation</w:t>
      </w:r>
      <w:r w:rsidRPr="006916FC">
        <w:rPr>
          <w:rFonts w:ascii="Didot" w:eastAsia="Arial" w:hAnsi="Didot" w:cs="Didot"/>
          <w:position w:val="-1"/>
          <w:sz w:val="20"/>
        </w:rPr>
        <w:tab/>
      </w:r>
      <w:r w:rsidRPr="006916FC">
        <w:rPr>
          <w:rFonts w:ascii="Didot" w:eastAsia="Arial" w:hAnsi="Didot" w:cs="Didot"/>
          <w:spacing w:val="-60"/>
          <w:position w:val="-1"/>
          <w:sz w:val="20"/>
        </w:rPr>
        <w:t xml:space="preserve"> </w:t>
      </w:r>
      <w:r w:rsidRPr="006916FC">
        <w:rPr>
          <w:rFonts w:ascii="Didot" w:eastAsia="Arial" w:hAnsi="Didot" w:cs="Didot"/>
          <w:w w:val="96"/>
          <w:position w:val="-1"/>
          <w:sz w:val="20"/>
        </w:rPr>
        <w:t>Cou</w:t>
      </w:r>
      <w:r w:rsidRPr="006916FC">
        <w:rPr>
          <w:rFonts w:ascii="Didot" w:eastAsia="Arial" w:hAnsi="Didot" w:cs="Didot"/>
          <w:spacing w:val="-6"/>
          <w:w w:val="96"/>
          <w:position w:val="-1"/>
          <w:sz w:val="20"/>
        </w:rPr>
        <w:t>n</w:t>
      </w:r>
      <w:r w:rsidRPr="006916FC">
        <w:rPr>
          <w:rFonts w:ascii="Didot" w:eastAsia="Arial" w:hAnsi="Didot" w:cs="Didot"/>
          <w:w w:val="138"/>
          <w:position w:val="-1"/>
          <w:sz w:val="20"/>
        </w:rPr>
        <w:t>t</w:t>
      </w:r>
      <w:r w:rsidRPr="006916FC">
        <w:rPr>
          <w:rFonts w:ascii="Didot" w:eastAsia="Arial" w:hAnsi="Didot" w:cs="Didot"/>
          <w:spacing w:val="11"/>
          <w:position w:val="-1"/>
          <w:sz w:val="20"/>
        </w:rPr>
        <w:t xml:space="preserve"> </w:t>
      </w:r>
      <w:r w:rsidRPr="006916FC">
        <w:rPr>
          <w:rFonts w:ascii="Didot" w:eastAsia="Arial" w:hAnsi="Didot" w:cs="Didot"/>
          <w:position w:val="-1"/>
          <w:sz w:val="20"/>
        </w:rPr>
        <w:t>(rate)</w:t>
      </w:r>
      <w:r w:rsidRPr="006916FC">
        <w:rPr>
          <w:rFonts w:ascii="Didot" w:eastAsia="Arial" w:hAnsi="Didot" w:cs="Didot"/>
          <w:spacing w:val="-45"/>
          <w:position w:val="-1"/>
          <w:sz w:val="20"/>
        </w:rPr>
        <w:t xml:space="preserve"> </w:t>
      </w:r>
      <w:r w:rsidRPr="006916FC">
        <w:rPr>
          <w:rFonts w:ascii="Didot" w:eastAsia="Arial" w:hAnsi="Didot" w:cs="Didot"/>
          <w:position w:val="-1"/>
          <w:sz w:val="20"/>
        </w:rPr>
        <w:tab/>
      </w:r>
      <w:r w:rsidRPr="006916FC">
        <w:rPr>
          <w:rFonts w:ascii="Didot" w:eastAsia="Arial" w:hAnsi="Didot" w:cs="Didot"/>
          <w:spacing w:val="-6"/>
          <w:position w:val="-1"/>
          <w:sz w:val="20"/>
        </w:rPr>
        <w:t>P</w:t>
      </w:r>
      <w:r w:rsidRPr="006916FC">
        <w:rPr>
          <w:rFonts w:ascii="Didot" w:eastAsia="Arial" w:hAnsi="Didot" w:cs="Didot"/>
          <w:position w:val="-1"/>
          <w:sz w:val="20"/>
        </w:rPr>
        <w:t>opulation</w:t>
      </w:r>
      <w:r w:rsidRPr="006916FC">
        <w:rPr>
          <w:rFonts w:ascii="Didot" w:eastAsia="Arial" w:hAnsi="Didot" w:cs="Didot"/>
          <w:position w:val="-1"/>
          <w:sz w:val="20"/>
        </w:rPr>
        <w:tab/>
      </w:r>
      <w:r w:rsidRPr="006916FC">
        <w:rPr>
          <w:rFonts w:ascii="Didot" w:eastAsia="Arial" w:hAnsi="Didot" w:cs="Didot"/>
          <w:spacing w:val="-60"/>
          <w:position w:val="-1"/>
          <w:sz w:val="20"/>
        </w:rPr>
        <w:t xml:space="preserve"> </w:t>
      </w:r>
      <w:r w:rsidRPr="006916FC">
        <w:rPr>
          <w:rFonts w:ascii="Didot" w:eastAsia="Arial" w:hAnsi="Didot" w:cs="Didot"/>
          <w:w w:val="96"/>
          <w:position w:val="-1"/>
          <w:sz w:val="20"/>
        </w:rPr>
        <w:t>Cou</w:t>
      </w:r>
      <w:r w:rsidRPr="006916FC">
        <w:rPr>
          <w:rFonts w:ascii="Didot" w:eastAsia="Arial" w:hAnsi="Didot" w:cs="Didot"/>
          <w:spacing w:val="-6"/>
          <w:w w:val="96"/>
          <w:position w:val="-1"/>
          <w:sz w:val="20"/>
        </w:rPr>
        <w:t>n</w:t>
      </w:r>
      <w:r w:rsidRPr="006916FC">
        <w:rPr>
          <w:rFonts w:ascii="Didot" w:eastAsia="Arial" w:hAnsi="Didot" w:cs="Didot"/>
          <w:w w:val="138"/>
          <w:position w:val="-1"/>
          <w:sz w:val="20"/>
        </w:rPr>
        <w:t>t</w:t>
      </w:r>
      <w:r w:rsidRPr="006916FC">
        <w:rPr>
          <w:rFonts w:ascii="Didot" w:eastAsia="Arial" w:hAnsi="Didot" w:cs="Didot"/>
          <w:position w:val="-1"/>
          <w:sz w:val="20"/>
        </w:rPr>
        <w:t xml:space="preserve"> </w:t>
      </w:r>
      <w:r w:rsidRPr="006916FC">
        <w:rPr>
          <w:rFonts w:ascii="Didot" w:eastAsia="Arial" w:hAnsi="Didot" w:cs="Didot"/>
          <w:w w:val="103"/>
          <w:position w:val="-1"/>
          <w:sz w:val="20"/>
        </w:rPr>
        <w:t>(rate)</w:t>
      </w:r>
    </w:p>
    <w:p w14:paraId="12EC213C" w14:textId="77777777" w:rsidR="00B552DA" w:rsidRPr="006916FC" w:rsidRDefault="00B552DA" w:rsidP="008A7E29">
      <w:pPr>
        <w:spacing w:before="8"/>
        <w:jc w:val="both"/>
        <w:rPr>
          <w:rFonts w:ascii="Didot" w:hAnsi="Didot" w:cs="Didot"/>
          <w:sz w:val="7"/>
          <w:szCs w:val="9"/>
        </w:rPr>
      </w:pPr>
    </w:p>
    <w:tbl>
      <w:tblPr>
        <w:tblW w:w="0" w:type="auto"/>
        <w:tblInd w:w="335" w:type="dxa"/>
        <w:tblLayout w:type="fixed"/>
        <w:tblCellMar>
          <w:left w:w="0" w:type="dxa"/>
          <w:right w:w="0" w:type="dxa"/>
        </w:tblCellMar>
        <w:tblLook w:val="01E0" w:firstRow="1" w:lastRow="1" w:firstColumn="1" w:lastColumn="1" w:noHBand="0" w:noVBand="0"/>
      </w:tblPr>
      <w:tblGrid>
        <w:gridCol w:w="807"/>
        <w:gridCol w:w="1375"/>
        <w:gridCol w:w="1605"/>
        <w:gridCol w:w="1421"/>
        <w:gridCol w:w="753"/>
        <w:gridCol w:w="778"/>
        <w:gridCol w:w="1421"/>
        <w:gridCol w:w="704"/>
        <w:gridCol w:w="838"/>
        <w:gridCol w:w="1421"/>
        <w:gridCol w:w="752"/>
        <w:gridCol w:w="647"/>
      </w:tblGrid>
      <w:tr w:rsidR="00B552DA" w:rsidRPr="006916FC" w14:paraId="28C1B18D" w14:textId="77777777" w:rsidTr="00B552DA">
        <w:trPr>
          <w:trHeight w:hRule="exact" w:val="474"/>
        </w:trPr>
        <w:tc>
          <w:tcPr>
            <w:tcW w:w="807" w:type="dxa"/>
            <w:tcBorders>
              <w:top w:val="single" w:sz="3" w:space="0" w:color="000000"/>
              <w:left w:val="nil"/>
              <w:bottom w:val="nil"/>
              <w:right w:val="nil"/>
            </w:tcBorders>
          </w:tcPr>
          <w:p w14:paraId="07C3AA61" w14:textId="77777777" w:rsidR="00B552DA" w:rsidRPr="006916FC" w:rsidRDefault="00B552DA" w:rsidP="008A7E29">
            <w:pPr>
              <w:spacing w:before="8"/>
              <w:jc w:val="both"/>
              <w:rPr>
                <w:rFonts w:ascii="Didot" w:hAnsi="Didot" w:cs="Didot"/>
                <w:sz w:val="8"/>
                <w:szCs w:val="10"/>
              </w:rPr>
            </w:pPr>
          </w:p>
          <w:p w14:paraId="786C0BD3" w14:textId="77777777" w:rsidR="00B552DA" w:rsidRPr="006916FC" w:rsidRDefault="00B552DA" w:rsidP="008A7E29">
            <w:pPr>
              <w:ind w:left="120" w:right="-20"/>
              <w:jc w:val="both"/>
              <w:rPr>
                <w:rFonts w:ascii="Didot" w:eastAsia="Arial" w:hAnsi="Didot" w:cs="Didot"/>
                <w:sz w:val="20"/>
              </w:rPr>
            </w:pPr>
            <w:r w:rsidRPr="006916FC">
              <w:rPr>
                <w:rFonts w:ascii="Didot" w:eastAsia="Arial" w:hAnsi="Didot" w:cs="Didot"/>
                <w:sz w:val="20"/>
              </w:rPr>
              <w:t>1998</w:t>
            </w:r>
          </w:p>
        </w:tc>
        <w:tc>
          <w:tcPr>
            <w:tcW w:w="1375" w:type="dxa"/>
            <w:tcBorders>
              <w:top w:val="single" w:sz="3" w:space="0" w:color="000000"/>
              <w:left w:val="nil"/>
              <w:bottom w:val="nil"/>
              <w:right w:val="nil"/>
            </w:tcBorders>
          </w:tcPr>
          <w:p w14:paraId="640E8D85" w14:textId="77777777" w:rsidR="00B552DA" w:rsidRPr="006916FC" w:rsidRDefault="00B552DA" w:rsidP="008A7E29">
            <w:pPr>
              <w:spacing w:before="8"/>
              <w:jc w:val="both"/>
              <w:rPr>
                <w:rFonts w:ascii="Didot" w:hAnsi="Didot" w:cs="Didot"/>
                <w:sz w:val="8"/>
                <w:szCs w:val="10"/>
              </w:rPr>
            </w:pPr>
          </w:p>
          <w:p w14:paraId="1D580880" w14:textId="77777777" w:rsidR="00B552DA" w:rsidRPr="006916FC" w:rsidRDefault="00B552DA" w:rsidP="008A7E29">
            <w:pPr>
              <w:ind w:left="251" w:right="-20"/>
              <w:jc w:val="both"/>
              <w:rPr>
                <w:rFonts w:ascii="Didot" w:eastAsia="Arial" w:hAnsi="Didot" w:cs="Didot"/>
                <w:sz w:val="20"/>
              </w:rPr>
            </w:pPr>
            <w:proofErr w:type="gramStart"/>
            <w:r w:rsidRPr="006916FC">
              <w:rPr>
                <w:rFonts w:ascii="Didot" w:eastAsia="Arial" w:hAnsi="Didot" w:cs="Didot"/>
                <w:sz w:val="20"/>
              </w:rPr>
              <w:t>47,201,666</w:t>
            </w:r>
            <w:proofErr w:type="gramEnd"/>
          </w:p>
        </w:tc>
        <w:tc>
          <w:tcPr>
            <w:tcW w:w="1605" w:type="dxa"/>
            <w:tcBorders>
              <w:top w:val="single" w:sz="3" w:space="0" w:color="000000"/>
              <w:left w:val="nil"/>
              <w:bottom w:val="nil"/>
              <w:right w:val="nil"/>
            </w:tcBorders>
          </w:tcPr>
          <w:p w14:paraId="554AE087" w14:textId="77777777" w:rsidR="00B552DA" w:rsidRPr="006916FC" w:rsidRDefault="00B552DA" w:rsidP="008A7E29">
            <w:pPr>
              <w:spacing w:before="8"/>
              <w:jc w:val="both"/>
              <w:rPr>
                <w:rFonts w:ascii="Didot" w:hAnsi="Didot" w:cs="Didot"/>
                <w:sz w:val="8"/>
                <w:szCs w:val="10"/>
              </w:rPr>
            </w:pPr>
          </w:p>
          <w:p w14:paraId="34948691" w14:textId="77777777" w:rsidR="00B552DA" w:rsidRPr="006916FC" w:rsidRDefault="00B552DA" w:rsidP="008A7E29">
            <w:pPr>
              <w:ind w:left="131" w:right="-20"/>
              <w:jc w:val="both"/>
              <w:rPr>
                <w:rFonts w:ascii="Didot" w:eastAsia="Arial" w:hAnsi="Didot" w:cs="Didot"/>
                <w:sz w:val="20"/>
              </w:rPr>
            </w:pPr>
            <w:r w:rsidRPr="006916FC">
              <w:rPr>
                <w:rFonts w:ascii="Didot" w:eastAsia="Arial" w:hAnsi="Didot" w:cs="Didot"/>
                <w:w w:val="90"/>
                <w:sz w:val="20"/>
              </w:rPr>
              <w:t>11,940</w:t>
            </w:r>
            <w:r w:rsidRPr="006916FC">
              <w:rPr>
                <w:rFonts w:ascii="Didot" w:eastAsia="Arial" w:hAnsi="Didot" w:cs="Didot"/>
                <w:spacing w:val="6"/>
                <w:w w:val="90"/>
                <w:sz w:val="20"/>
              </w:rPr>
              <w:t xml:space="preserve"> </w:t>
            </w:r>
            <w:r w:rsidRPr="006916FC">
              <w:rPr>
                <w:rFonts w:ascii="Didot" w:eastAsia="Arial" w:hAnsi="Didot" w:cs="Didot"/>
                <w:sz w:val="20"/>
              </w:rPr>
              <w:t>(25.3)</w:t>
            </w:r>
          </w:p>
        </w:tc>
        <w:tc>
          <w:tcPr>
            <w:tcW w:w="1421" w:type="dxa"/>
            <w:tcBorders>
              <w:top w:val="single" w:sz="3" w:space="0" w:color="000000"/>
              <w:left w:val="nil"/>
              <w:bottom w:val="nil"/>
              <w:right w:val="nil"/>
            </w:tcBorders>
          </w:tcPr>
          <w:p w14:paraId="40FB3541" w14:textId="77777777" w:rsidR="00B552DA" w:rsidRPr="006916FC" w:rsidRDefault="00B552DA" w:rsidP="008A7E29">
            <w:pPr>
              <w:spacing w:before="8"/>
              <w:jc w:val="both"/>
              <w:rPr>
                <w:rFonts w:ascii="Didot" w:hAnsi="Didot" w:cs="Didot"/>
                <w:sz w:val="8"/>
                <w:szCs w:val="10"/>
              </w:rPr>
            </w:pPr>
          </w:p>
          <w:p w14:paraId="0036CA85" w14:textId="77777777" w:rsidR="00B552DA" w:rsidRPr="006916FC" w:rsidRDefault="00B552DA" w:rsidP="008A7E29">
            <w:pPr>
              <w:ind w:left="251" w:right="-20"/>
              <w:jc w:val="both"/>
              <w:rPr>
                <w:rFonts w:ascii="Didot" w:eastAsia="Arial" w:hAnsi="Didot" w:cs="Didot"/>
                <w:sz w:val="20"/>
              </w:rPr>
            </w:pPr>
            <w:proofErr w:type="gramStart"/>
            <w:r w:rsidRPr="006916FC">
              <w:rPr>
                <w:rFonts w:ascii="Didot" w:eastAsia="Arial" w:hAnsi="Didot" w:cs="Didot"/>
                <w:sz w:val="20"/>
              </w:rPr>
              <w:t>49,412,151</w:t>
            </w:r>
            <w:proofErr w:type="gramEnd"/>
          </w:p>
        </w:tc>
        <w:tc>
          <w:tcPr>
            <w:tcW w:w="753" w:type="dxa"/>
            <w:tcBorders>
              <w:top w:val="single" w:sz="3" w:space="0" w:color="000000"/>
              <w:left w:val="nil"/>
              <w:bottom w:val="nil"/>
              <w:right w:val="nil"/>
            </w:tcBorders>
          </w:tcPr>
          <w:p w14:paraId="510403DE" w14:textId="77777777" w:rsidR="00B552DA" w:rsidRPr="006916FC" w:rsidRDefault="00B552DA" w:rsidP="008A7E29">
            <w:pPr>
              <w:spacing w:before="8"/>
              <w:jc w:val="both"/>
              <w:rPr>
                <w:rFonts w:ascii="Didot" w:hAnsi="Didot" w:cs="Didot"/>
                <w:sz w:val="8"/>
                <w:szCs w:val="10"/>
              </w:rPr>
            </w:pPr>
          </w:p>
          <w:p w14:paraId="2215344B" w14:textId="77777777" w:rsidR="00B552DA" w:rsidRPr="006916FC" w:rsidRDefault="00B552DA" w:rsidP="008A7E29">
            <w:pPr>
              <w:ind w:left="177" w:right="-20"/>
              <w:jc w:val="both"/>
              <w:rPr>
                <w:rFonts w:ascii="Didot" w:eastAsia="Arial" w:hAnsi="Didot" w:cs="Didot"/>
                <w:sz w:val="20"/>
              </w:rPr>
            </w:pPr>
            <w:r w:rsidRPr="006916FC">
              <w:rPr>
                <w:rFonts w:ascii="Didot" w:eastAsia="Arial" w:hAnsi="Didot" w:cs="Didot"/>
                <w:sz w:val="20"/>
              </w:rPr>
              <w:t>1,529</w:t>
            </w:r>
          </w:p>
        </w:tc>
        <w:tc>
          <w:tcPr>
            <w:tcW w:w="778" w:type="dxa"/>
            <w:tcBorders>
              <w:top w:val="single" w:sz="3" w:space="0" w:color="000000"/>
              <w:left w:val="nil"/>
              <w:bottom w:val="nil"/>
              <w:right w:val="nil"/>
            </w:tcBorders>
          </w:tcPr>
          <w:p w14:paraId="2283DE8A" w14:textId="77777777" w:rsidR="00B552DA" w:rsidRPr="006916FC" w:rsidRDefault="00B552DA" w:rsidP="008A7E29">
            <w:pPr>
              <w:spacing w:before="8"/>
              <w:jc w:val="both"/>
              <w:rPr>
                <w:rFonts w:ascii="Didot" w:hAnsi="Didot" w:cs="Didot"/>
                <w:sz w:val="8"/>
                <w:szCs w:val="10"/>
              </w:rPr>
            </w:pPr>
          </w:p>
          <w:p w14:paraId="37FD1DF0" w14:textId="77777777" w:rsidR="00B552DA" w:rsidRPr="006916FC" w:rsidRDefault="00B552DA" w:rsidP="008A7E29">
            <w:pPr>
              <w:ind w:left="79" w:right="-20"/>
              <w:jc w:val="both"/>
              <w:rPr>
                <w:rFonts w:ascii="Didot" w:eastAsia="Arial" w:hAnsi="Didot" w:cs="Didot"/>
                <w:sz w:val="20"/>
              </w:rPr>
            </w:pPr>
            <w:r w:rsidRPr="006916FC">
              <w:rPr>
                <w:rFonts w:ascii="Didot" w:eastAsia="Arial" w:hAnsi="Didot" w:cs="Didot"/>
                <w:sz w:val="20"/>
              </w:rPr>
              <w:t>(3.1)</w:t>
            </w:r>
          </w:p>
        </w:tc>
        <w:tc>
          <w:tcPr>
            <w:tcW w:w="1421" w:type="dxa"/>
            <w:tcBorders>
              <w:top w:val="single" w:sz="3" w:space="0" w:color="000000"/>
              <w:left w:val="nil"/>
              <w:bottom w:val="nil"/>
              <w:right w:val="nil"/>
            </w:tcBorders>
          </w:tcPr>
          <w:p w14:paraId="047256CF" w14:textId="77777777" w:rsidR="00B552DA" w:rsidRPr="006916FC" w:rsidRDefault="00B552DA" w:rsidP="008A7E29">
            <w:pPr>
              <w:spacing w:before="8"/>
              <w:jc w:val="both"/>
              <w:rPr>
                <w:rFonts w:ascii="Didot" w:hAnsi="Didot" w:cs="Didot"/>
                <w:sz w:val="8"/>
                <w:szCs w:val="10"/>
              </w:rPr>
            </w:pPr>
          </w:p>
          <w:p w14:paraId="3178F5C7" w14:textId="77777777" w:rsidR="00B552DA" w:rsidRPr="006916FC" w:rsidRDefault="00B552DA" w:rsidP="008A7E29">
            <w:pPr>
              <w:ind w:left="251" w:right="-20"/>
              <w:jc w:val="both"/>
              <w:rPr>
                <w:rFonts w:ascii="Didot" w:eastAsia="Arial" w:hAnsi="Didot" w:cs="Didot"/>
                <w:sz w:val="20"/>
              </w:rPr>
            </w:pPr>
            <w:proofErr w:type="gramStart"/>
            <w:r w:rsidRPr="006916FC">
              <w:rPr>
                <w:rFonts w:ascii="Didot" w:eastAsia="Arial" w:hAnsi="Didot" w:cs="Didot"/>
                <w:sz w:val="20"/>
              </w:rPr>
              <w:t>33,467,473</w:t>
            </w:r>
            <w:proofErr w:type="gramEnd"/>
          </w:p>
        </w:tc>
        <w:tc>
          <w:tcPr>
            <w:tcW w:w="704" w:type="dxa"/>
            <w:tcBorders>
              <w:top w:val="single" w:sz="3" w:space="0" w:color="000000"/>
              <w:left w:val="nil"/>
              <w:bottom w:val="nil"/>
              <w:right w:val="nil"/>
            </w:tcBorders>
          </w:tcPr>
          <w:p w14:paraId="08799E13" w14:textId="77777777" w:rsidR="00B552DA" w:rsidRPr="006916FC" w:rsidRDefault="00B552DA" w:rsidP="008A7E29">
            <w:pPr>
              <w:spacing w:before="8"/>
              <w:jc w:val="both"/>
              <w:rPr>
                <w:rFonts w:ascii="Didot" w:hAnsi="Didot" w:cs="Didot"/>
                <w:sz w:val="8"/>
                <w:szCs w:val="10"/>
              </w:rPr>
            </w:pPr>
          </w:p>
          <w:p w14:paraId="3CB1FD05" w14:textId="77777777" w:rsidR="00B552DA" w:rsidRPr="006916FC" w:rsidRDefault="00B552DA" w:rsidP="008A7E29">
            <w:pPr>
              <w:ind w:left="176" w:right="-42"/>
              <w:jc w:val="both"/>
              <w:rPr>
                <w:rFonts w:ascii="Didot" w:eastAsia="Arial" w:hAnsi="Didot" w:cs="Didot"/>
                <w:sz w:val="20"/>
              </w:rPr>
            </w:pPr>
            <w:r w:rsidRPr="006916FC">
              <w:rPr>
                <w:rFonts w:ascii="Didot" w:eastAsia="Arial" w:hAnsi="Didot" w:cs="Didot"/>
                <w:w w:val="90"/>
                <w:sz w:val="20"/>
              </w:rPr>
              <w:t>2,769</w:t>
            </w:r>
          </w:p>
        </w:tc>
        <w:tc>
          <w:tcPr>
            <w:tcW w:w="838" w:type="dxa"/>
            <w:tcBorders>
              <w:top w:val="single" w:sz="3" w:space="0" w:color="000000"/>
              <w:left w:val="nil"/>
              <w:bottom w:val="nil"/>
              <w:right w:val="nil"/>
            </w:tcBorders>
          </w:tcPr>
          <w:p w14:paraId="1344728D" w14:textId="77777777" w:rsidR="00B552DA" w:rsidRPr="006916FC" w:rsidRDefault="00B552DA" w:rsidP="008A7E29">
            <w:pPr>
              <w:spacing w:before="8"/>
              <w:jc w:val="both"/>
              <w:rPr>
                <w:rFonts w:ascii="Didot" w:hAnsi="Didot" w:cs="Didot"/>
                <w:sz w:val="8"/>
                <w:szCs w:val="10"/>
              </w:rPr>
            </w:pPr>
          </w:p>
          <w:p w14:paraId="43EB3482" w14:textId="77777777" w:rsidR="00B552DA" w:rsidRPr="006916FC" w:rsidRDefault="00B552DA" w:rsidP="008A7E29">
            <w:pPr>
              <w:ind w:left="140" w:right="-20"/>
              <w:jc w:val="both"/>
              <w:rPr>
                <w:rFonts w:ascii="Didot" w:eastAsia="Arial" w:hAnsi="Didot" w:cs="Didot"/>
                <w:sz w:val="20"/>
              </w:rPr>
            </w:pPr>
            <w:r w:rsidRPr="006916FC">
              <w:rPr>
                <w:rFonts w:ascii="Didot" w:eastAsia="Arial" w:hAnsi="Didot" w:cs="Didot"/>
                <w:sz w:val="20"/>
              </w:rPr>
              <w:t>(8.3)</w:t>
            </w:r>
          </w:p>
        </w:tc>
        <w:tc>
          <w:tcPr>
            <w:tcW w:w="1421" w:type="dxa"/>
            <w:tcBorders>
              <w:top w:val="single" w:sz="3" w:space="0" w:color="000000"/>
              <w:left w:val="nil"/>
              <w:bottom w:val="nil"/>
              <w:right w:val="nil"/>
            </w:tcBorders>
          </w:tcPr>
          <w:p w14:paraId="314A3C4A" w14:textId="77777777" w:rsidR="00B552DA" w:rsidRPr="006916FC" w:rsidRDefault="00B552DA" w:rsidP="008A7E29">
            <w:pPr>
              <w:spacing w:before="8"/>
              <w:jc w:val="both"/>
              <w:rPr>
                <w:rFonts w:ascii="Didot" w:hAnsi="Didot" w:cs="Didot"/>
                <w:sz w:val="8"/>
                <w:szCs w:val="10"/>
              </w:rPr>
            </w:pPr>
          </w:p>
          <w:p w14:paraId="07F7AD4A" w14:textId="77777777" w:rsidR="00B552DA" w:rsidRPr="006916FC" w:rsidRDefault="00B552DA" w:rsidP="008A7E29">
            <w:pPr>
              <w:ind w:left="251" w:right="-20"/>
              <w:jc w:val="both"/>
              <w:rPr>
                <w:rFonts w:ascii="Didot" w:eastAsia="Arial" w:hAnsi="Didot" w:cs="Didot"/>
                <w:sz w:val="20"/>
              </w:rPr>
            </w:pPr>
            <w:proofErr w:type="gramStart"/>
            <w:r w:rsidRPr="006916FC">
              <w:rPr>
                <w:rFonts w:ascii="Didot" w:eastAsia="Arial" w:hAnsi="Didot" w:cs="Didot"/>
                <w:sz w:val="20"/>
              </w:rPr>
              <w:t>36,077,769</w:t>
            </w:r>
            <w:proofErr w:type="gramEnd"/>
          </w:p>
        </w:tc>
        <w:tc>
          <w:tcPr>
            <w:tcW w:w="752" w:type="dxa"/>
            <w:tcBorders>
              <w:top w:val="single" w:sz="3" w:space="0" w:color="000000"/>
              <w:left w:val="nil"/>
              <w:bottom w:val="nil"/>
              <w:right w:val="nil"/>
            </w:tcBorders>
          </w:tcPr>
          <w:p w14:paraId="43BFB185" w14:textId="77777777" w:rsidR="00B552DA" w:rsidRPr="006916FC" w:rsidRDefault="00B552DA" w:rsidP="008A7E29">
            <w:pPr>
              <w:spacing w:before="8"/>
              <w:jc w:val="both"/>
              <w:rPr>
                <w:rFonts w:ascii="Didot" w:hAnsi="Didot" w:cs="Didot"/>
                <w:sz w:val="8"/>
                <w:szCs w:val="10"/>
              </w:rPr>
            </w:pPr>
          </w:p>
          <w:p w14:paraId="2C0A19A7" w14:textId="77777777" w:rsidR="00B552DA" w:rsidRPr="006916FC" w:rsidRDefault="00B552DA" w:rsidP="008A7E29">
            <w:pPr>
              <w:ind w:left="346" w:right="-20"/>
              <w:jc w:val="both"/>
              <w:rPr>
                <w:rFonts w:ascii="Didot" w:eastAsia="Arial" w:hAnsi="Didot" w:cs="Didot"/>
                <w:sz w:val="20"/>
              </w:rPr>
            </w:pPr>
            <w:r w:rsidRPr="006916FC">
              <w:rPr>
                <w:rFonts w:ascii="Didot" w:eastAsia="Arial" w:hAnsi="Didot" w:cs="Didot"/>
                <w:sz w:val="20"/>
              </w:rPr>
              <w:t>517</w:t>
            </w:r>
          </w:p>
        </w:tc>
        <w:tc>
          <w:tcPr>
            <w:tcW w:w="647" w:type="dxa"/>
            <w:tcBorders>
              <w:top w:val="single" w:sz="3" w:space="0" w:color="000000"/>
              <w:left w:val="nil"/>
              <w:bottom w:val="nil"/>
              <w:right w:val="nil"/>
            </w:tcBorders>
          </w:tcPr>
          <w:p w14:paraId="1A86E972" w14:textId="77777777" w:rsidR="00B552DA" w:rsidRPr="006916FC" w:rsidRDefault="00B552DA" w:rsidP="008A7E29">
            <w:pPr>
              <w:spacing w:before="8"/>
              <w:jc w:val="both"/>
              <w:rPr>
                <w:rFonts w:ascii="Didot" w:hAnsi="Didot" w:cs="Didot"/>
                <w:sz w:val="8"/>
                <w:szCs w:val="10"/>
              </w:rPr>
            </w:pPr>
          </w:p>
          <w:p w14:paraId="44B682B8" w14:textId="77777777" w:rsidR="00B552DA" w:rsidRPr="006916FC" w:rsidRDefault="00B552DA" w:rsidP="008A7E29">
            <w:pPr>
              <w:ind w:left="79" w:right="-20"/>
              <w:jc w:val="both"/>
              <w:rPr>
                <w:rFonts w:ascii="Didot" w:eastAsia="Arial" w:hAnsi="Didot" w:cs="Didot"/>
                <w:sz w:val="20"/>
              </w:rPr>
            </w:pPr>
            <w:r w:rsidRPr="006916FC">
              <w:rPr>
                <w:rFonts w:ascii="Didot" w:eastAsia="Arial" w:hAnsi="Didot" w:cs="Didot"/>
                <w:sz w:val="20"/>
              </w:rPr>
              <w:t>(1.4)</w:t>
            </w:r>
          </w:p>
        </w:tc>
      </w:tr>
      <w:tr w:rsidR="00B552DA" w:rsidRPr="006916FC" w14:paraId="1790CC49" w14:textId="77777777" w:rsidTr="00B552DA">
        <w:trPr>
          <w:trHeight w:hRule="exact" w:val="448"/>
        </w:trPr>
        <w:tc>
          <w:tcPr>
            <w:tcW w:w="807" w:type="dxa"/>
            <w:tcBorders>
              <w:top w:val="nil"/>
              <w:left w:val="nil"/>
              <w:bottom w:val="nil"/>
              <w:right w:val="nil"/>
            </w:tcBorders>
          </w:tcPr>
          <w:p w14:paraId="29C5267F"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1999</w:t>
            </w:r>
          </w:p>
        </w:tc>
        <w:tc>
          <w:tcPr>
            <w:tcW w:w="1375" w:type="dxa"/>
            <w:tcBorders>
              <w:top w:val="nil"/>
              <w:left w:val="nil"/>
              <w:bottom w:val="nil"/>
              <w:right w:val="nil"/>
            </w:tcBorders>
          </w:tcPr>
          <w:p w14:paraId="0B62996D"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47,457,624</w:t>
            </w:r>
            <w:proofErr w:type="gramEnd"/>
          </w:p>
        </w:tc>
        <w:tc>
          <w:tcPr>
            <w:tcW w:w="1605" w:type="dxa"/>
            <w:tcBorders>
              <w:top w:val="nil"/>
              <w:left w:val="nil"/>
              <w:bottom w:val="nil"/>
              <w:right w:val="nil"/>
            </w:tcBorders>
          </w:tcPr>
          <w:p w14:paraId="60A4A26B" w14:textId="77777777" w:rsidR="00B552DA" w:rsidRPr="006916FC" w:rsidRDefault="00B552DA" w:rsidP="008A7E29">
            <w:pPr>
              <w:spacing w:before="82"/>
              <w:ind w:left="131" w:right="-20"/>
              <w:jc w:val="both"/>
              <w:rPr>
                <w:rFonts w:ascii="Didot" w:eastAsia="Arial" w:hAnsi="Didot" w:cs="Didot"/>
                <w:sz w:val="20"/>
              </w:rPr>
            </w:pPr>
            <w:r w:rsidRPr="006916FC">
              <w:rPr>
                <w:rFonts w:ascii="Didot" w:eastAsia="Arial" w:hAnsi="Didot" w:cs="Didot"/>
                <w:w w:val="90"/>
                <w:sz w:val="20"/>
              </w:rPr>
              <w:t>10,694</w:t>
            </w:r>
            <w:r w:rsidRPr="006916FC">
              <w:rPr>
                <w:rFonts w:ascii="Didot" w:eastAsia="Arial" w:hAnsi="Didot" w:cs="Didot"/>
                <w:spacing w:val="6"/>
                <w:w w:val="90"/>
                <w:sz w:val="20"/>
              </w:rPr>
              <w:t xml:space="preserve"> </w:t>
            </w:r>
            <w:r w:rsidRPr="006916FC">
              <w:rPr>
                <w:rFonts w:ascii="Didot" w:eastAsia="Arial" w:hAnsi="Didot" w:cs="Didot"/>
                <w:sz w:val="20"/>
              </w:rPr>
              <w:t>(22.5)</w:t>
            </w:r>
          </w:p>
        </w:tc>
        <w:tc>
          <w:tcPr>
            <w:tcW w:w="1421" w:type="dxa"/>
            <w:tcBorders>
              <w:top w:val="nil"/>
              <w:left w:val="nil"/>
              <w:bottom w:val="nil"/>
              <w:right w:val="nil"/>
            </w:tcBorders>
          </w:tcPr>
          <w:p w14:paraId="26F7C913"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49,714,147</w:t>
            </w:r>
            <w:proofErr w:type="gramEnd"/>
          </w:p>
        </w:tc>
        <w:tc>
          <w:tcPr>
            <w:tcW w:w="753" w:type="dxa"/>
            <w:tcBorders>
              <w:top w:val="nil"/>
              <w:left w:val="nil"/>
              <w:bottom w:val="nil"/>
              <w:right w:val="nil"/>
            </w:tcBorders>
          </w:tcPr>
          <w:p w14:paraId="0AE9AE74"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1,407</w:t>
            </w:r>
          </w:p>
        </w:tc>
        <w:tc>
          <w:tcPr>
            <w:tcW w:w="778" w:type="dxa"/>
            <w:tcBorders>
              <w:top w:val="nil"/>
              <w:left w:val="nil"/>
              <w:bottom w:val="nil"/>
              <w:right w:val="nil"/>
            </w:tcBorders>
          </w:tcPr>
          <w:p w14:paraId="41D655BB"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(2.8)</w:t>
            </w:r>
          </w:p>
        </w:tc>
        <w:tc>
          <w:tcPr>
            <w:tcW w:w="1421" w:type="dxa"/>
            <w:tcBorders>
              <w:top w:val="nil"/>
              <w:left w:val="nil"/>
              <w:bottom w:val="nil"/>
              <w:right w:val="nil"/>
            </w:tcBorders>
          </w:tcPr>
          <w:p w14:paraId="56A3CC9C"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33,777,314</w:t>
            </w:r>
            <w:proofErr w:type="gramEnd"/>
          </w:p>
        </w:tc>
        <w:tc>
          <w:tcPr>
            <w:tcW w:w="704" w:type="dxa"/>
            <w:tcBorders>
              <w:top w:val="nil"/>
              <w:left w:val="nil"/>
              <w:bottom w:val="nil"/>
              <w:right w:val="nil"/>
            </w:tcBorders>
          </w:tcPr>
          <w:p w14:paraId="64ED692B"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2,802</w:t>
            </w:r>
          </w:p>
        </w:tc>
        <w:tc>
          <w:tcPr>
            <w:tcW w:w="838" w:type="dxa"/>
            <w:tcBorders>
              <w:top w:val="nil"/>
              <w:left w:val="nil"/>
              <w:bottom w:val="nil"/>
              <w:right w:val="nil"/>
            </w:tcBorders>
          </w:tcPr>
          <w:p w14:paraId="02E87110"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(8.3)</w:t>
            </w:r>
          </w:p>
        </w:tc>
        <w:tc>
          <w:tcPr>
            <w:tcW w:w="1421" w:type="dxa"/>
            <w:tcBorders>
              <w:top w:val="nil"/>
              <w:left w:val="nil"/>
              <w:bottom w:val="nil"/>
              <w:right w:val="nil"/>
            </w:tcBorders>
          </w:tcPr>
          <w:p w14:paraId="2A462F82"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36,436,040</w:t>
            </w:r>
            <w:proofErr w:type="gramEnd"/>
          </w:p>
        </w:tc>
        <w:tc>
          <w:tcPr>
            <w:tcW w:w="752" w:type="dxa"/>
            <w:tcBorders>
              <w:top w:val="nil"/>
              <w:left w:val="nil"/>
              <w:bottom w:val="nil"/>
              <w:right w:val="nil"/>
            </w:tcBorders>
          </w:tcPr>
          <w:p w14:paraId="619946A6"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493</w:t>
            </w:r>
          </w:p>
        </w:tc>
        <w:tc>
          <w:tcPr>
            <w:tcW w:w="647" w:type="dxa"/>
            <w:tcBorders>
              <w:top w:val="nil"/>
              <w:left w:val="nil"/>
              <w:bottom w:val="nil"/>
              <w:right w:val="nil"/>
            </w:tcBorders>
          </w:tcPr>
          <w:p w14:paraId="50383687"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(1.4)</w:t>
            </w:r>
          </w:p>
        </w:tc>
      </w:tr>
      <w:tr w:rsidR="00B552DA" w:rsidRPr="006916FC" w14:paraId="656B572D" w14:textId="77777777" w:rsidTr="00B552DA">
        <w:trPr>
          <w:trHeight w:hRule="exact" w:val="448"/>
        </w:trPr>
        <w:tc>
          <w:tcPr>
            <w:tcW w:w="807" w:type="dxa"/>
            <w:tcBorders>
              <w:top w:val="nil"/>
              <w:left w:val="nil"/>
              <w:bottom w:val="nil"/>
              <w:right w:val="nil"/>
            </w:tcBorders>
          </w:tcPr>
          <w:p w14:paraId="28F9CDEF"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2000</w:t>
            </w:r>
          </w:p>
        </w:tc>
        <w:tc>
          <w:tcPr>
            <w:tcW w:w="1375" w:type="dxa"/>
            <w:tcBorders>
              <w:top w:val="nil"/>
              <w:left w:val="nil"/>
              <w:bottom w:val="nil"/>
              <w:right w:val="nil"/>
            </w:tcBorders>
          </w:tcPr>
          <w:p w14:paraId="125E1342"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47,713,583</w:t>
            </w:r>
            <w:proofErr w:type="gramEnd"/>
          </w:p>
        </w:tc>
        <w:tc>
          <w:tcPr>
            <w:tcW w:w="1605" w:type="dxa"/>
            <w:tcBorders>
              <w:top w:val="nil"/>
              <w:left w:val="nil"/>
              <w:bottom w:val="nil"/>
              <w:right w:val="nil"/>
            </w:tcBorders>
          </w:tcPr>
          <w:p w14:paraId="3E157EC1"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9,309</w:t>
            </w:r>
            <w:r w:rsidRPr="006916FC">
              <w:rPr>
                <w:rFonts w:ascii="Didot" w:eastAsia="Arial" w:hAnsi="Didot" w:cs="Didot"/>
                <w:spacing w:val="6"/>
                <w:w w:val="90"/>
                <w:sz w:val="20"/>
              </w:rPr>
              <w:t xml:space="preserve"> </w:t>
            </w:r>
            <w:r w:rsidRPr="006916FC">
              <w:rPr>
                <w:rFonts w:ascii="Didot" w:eastAsia="Arial" w:hAnsi="Didot" w:cs="Didot"/>
                <w:sz w:val="20"/>
              </w:rPr>
              <w:t>(19.5)</w:t>
            </w:r>
          </w:p>
        </w:tc>
        <w:tc>
          <w:tcPr>
            <w:tcW w:w="1421" w:type="dxa"/>
            <w:tcBorders>
              <w:top w:val="nil"/>
              <w:left w:val="nil"/>
              <w:bottom w:val="nil"/>
              <w:right w:val="nil"/>
            </w:tcBorders>
          </w:tcPr>
          <w:p w14:paraId="59AC794B"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50,016,144</w:t>
            </w:r>
            <w:proofErr w:type="gramEnd"/>
          </w:p>
        </w:tc>
        <w:tc>
          <w:tcPr>
            <w:tcW w:w="753" w:type="dxa"/>
            <w:tcBorders>
              <w:top w:val="nil"/>
              <w:left w:val="nil"/>
              <w:bottom w:val="nil"/>
              <w:right w:val="nil"/>
            </w:tcBorders>
          </w:tcPr>
          <w:p w14:paraId="48B62184"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1,291</w:t>
            </w:r>
          </w:p>
        </w:tc>
        <w:tc>
          <w:tcPr>
            <w:tcW w:w="778" w:type="dxa"/>
            <w:tcBorders>
              <w:top w:val="nil"/>
              <w:left w:val="nil"/>
              <w:bottom w:val="nil"/>
              <w:right w:val="nil"/>
            </w:tcBorders>
          </w:tcPr>
          <w:p w14:paraId="0E3094AE"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(2.6)</w:t>
            </w:r>
          </w:p>
        </w:tc>
        <w:tc>
          <w:tcPr>
            <w:tcW w:w="1421" w:type="dxa"/>
            <w:tcBorders>
              <w:top w:val="nil"/>
              <w:left w:val="nil"/>
              <w:bottom w:val="nil"/>
              <w:right w:val="nil"/>
            </w:tcBorders>
          </w:tcPr>
          <w:p w14:paraId="78C494E0"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34,087,155</w:t>
            </w:r>
            <w:proofErr w:type="gramEnd"/>
          </w:p>
        </w:tc>
        <w:tc>
          <w:tcPr>
            <w:tcW w:w="704" w:type="dxa"/>
            <w:tcBorders>
              <w:top w:val="nil"/>
              <w:left w:val="nil"/>
              <w:bottom w:val="nil"/>
              <w:right w:val="nil"/>
            </w:tcBorders>
          </w:tcPr>
          <w:p w14:paraId="28904206"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2,911</w:t>
            </w:r>
          </w:p>
        </w:tc>
        <w:tc>
          <w:tcPr>
            <w:tcW w:w="838" w:type="dxa"/>
            <w:tcBorders>
              <w:top w:val="nil"/>
              <w:left w:val="nil"/>
              <w:bottom w:val="nil"/>
              <w:right w:val="nil"/>
            </w:tcBorders>
          </w:tcPr>
          <w:p w14:paraId="4141A257"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(8.5)</w:t>
            </w:r>
          </w:p>
        </w:tc>
        <w:tc>
          <w:tcPr>
            <w:tcW w:w="1421" w:type="dxa"/>
            <w:tcBorders>
              <w:top w:val="nil"/>
              <w:left w:val="nil"/>
              <w:bottom w:val="nil"/>
              <w:right w:val="nil"/>
            </w:tcBorders>
          </w:tcPr>
          <w:p w14:paraId="0DFDCC5C"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36,794,311</w:t>
            </w:r>
            <w:proofErr w:type="gramEnd"/>
          </w:p>
        </w:tc>
        <w:tc>
          <w:tcPr>
            <w:tcW w:w="752" w:type="dxa"/>
            <w:tcBorders>
              <w:top w:val="nil"/>
              <w:left w:val="nil"/>
              <w:bottom w:val="nil"/>
              <w:right w:val="nil"/>
            </w:tcBorders>
          </w:tcPr>
          <w:p w14:paraId="5C959659"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538</w:t>
            </w:r>
          </w:p>
        </w:tc>
        <w:tc>
          <w:tcPr>
            <w:tcW w:w="647" w:type="dxa"/>
            <w:tcBorders>
              <w:top w:val="nil"/>
              <w:left w:val="nil"/>
              <w:bottom w:val="nil"/>
              <w:right w:val="nil"/>
            </w:tcBorders>
          </w:tcPr>
          <w:p w14:paraId="71B5C59F"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(1.5)</w:t>
            </w:r>
          </w:p>
        </w:tc>
      </w:tr>
      <w:tr w:rsidR="00B552DA" w:rsidRPr="006916FC" w14:paraId="2554F812" w14:textId="77777777" w:rsidTr="00B552DA">
        <w:trPr>
          <w:trHeight w:hRule="exact" w:val="448"/>
        </w:trPr>
        <w:tc>
          <w:tcPr>
            <w:tcW w:w="807" w:type="dxa"/>
            <w:tcBorders>
              <w:top w:val="nil"/>
              <w:left w:val="nil"/>
              <w:bottom w:val="nil"/>
              <w:right w:val="nil"/>
            </w:tcBorders>
          </w:tcPr>
          <w:p w14:paraId="61FC4145"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2001</w:t>
            </w:r>
          </w:p>
        </w:tc>
        <w:tc>
          <w:tcPr>
            <w:tcW w:w="1375" w:type="dxa"/>
            <w:tcBorders>
              <w:top w:val="nil"/>
              <w:left w:val="nil"/>
              <w:bottom w:val="nil"/>
              <w:right w:val="nil"/>
            </w:tcBorders>
          </w:tcPr>
          <w:p w14:paraId="2560F1CC"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48,225,500</w:t>
            </w:r>
            <w:proofErr w:type="gramEnd"/>
          </w:p>
        </w:tc>
        <w:tc>
          <w:tcPr>
            <w:tcW w:w="1605" w:type="dxa"/>
            <w:tcBorders>
              <w:top w:val="nil"/>
              <w:left w:val="nil"/>
              <w:bottom w:val="nil"/>
              <w:right w:val="nil"/>
            </w:tcBorders>
          </w:tcPr>
          <w:p w14:paraId="1328F102"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8,876</w:t>
            </w:r>
            <w:r w:rsidRPr="006916FC">
              <w:rPr>
                <w:rFonts w:ascii="Didot" w:eastAsia="Arial" w:hAnsi="Didot" w:cs="Didot"/>
                <w:spacing w:val="6"/>
                <w:w w:val="90"/>
                <w:sz w:val="20"/>
              </w:rPr>
              <w:t xml:space="preserve"> </w:t>
            </w:r>
            <w:r w:rsidRPr="006916FC">
              <w:rPr>
                <w:rFonts w:ascii="Didot" w:eastAsia="Arial" w:hAnsi="Didot" w:cs="Didot"/>
                <w:sz w:val="20"/>
              </w:rPr>
              <w:t>(18.4)</w:t>
            </w:r>
          </w:p>
        </w:tc>
        <w:tc>
          <w:tcPr>
            <w:tcW w:w="1421" w:type="dxa"/>
            <w:tcBorders>
              <w:top w:val="nil"/>
              <w:left w:val="nil"/>
              <w:bottom w:val="nil"/>
              <w:right w:val="nil"/>
            </w:tcBorders>
          </w:tcPr>
          <w:p w14:paraId="24B2A1A9"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50,620,136</w:t>
            </w:r>
            <w:proofErr w:type="gramEnd"/>
          </w:p>
        </w:tc>
        <w:tc>
          <w:tcPr>
            <w:tcW w:w="753" w:type="dxa"/>
            <w:tcBorders>
              <w:top w:val="nil"/>
              <w:left w:val="nil"/>
              <w:bottom w:val="nil"/>
              <w:right w:val="nil"/>
            </w:tcBorders>
          </w:tcPr>
          <w:p w14:paraId="73F09241"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1,300</w:t>
            </w:r>
          </w:p>
        </w:tc>
        <w:tc>
          <w:tcPr>
            <w:tcW w:w="778" w:type="dxa"/>
            <w:tcBorders>
              <w:top w:val="nil"/>
              <w:left w:val="nil"/>
              <w:bottom w:val="nil"/>
              <w:right w:val="nil"/>
            </w:tcBorders>
          </w:tcPr>
          <w:p w14:paraId="6F27BADA"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(2.6)</w:t>
            </w:r>
          </w:p>
        </w:tc>
        <w:tc>
          <w:tcPr>
            <w:tcW w:w="1421" w:type="dxa"/>
            <w:tcBorders>
              <w:top w:val="nil"/>
              <w:left w:val="nil"/>
              <w:bottom w:val="nil"/>
              <w:right w:val="nil"/>
            </w:tcBorders>
          </w:tcPr>
          <w:p w14:paraId="6238251E"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34,706,838</w:t>
            </w:r>
            <w:proofErr w:type="gramEnd"/>
          </w:p>
        </w:tc>
        <w:tc>
          <w:tcPr>
            <w:tcW w:w="704" w:type="dxa"/>
            <w:tcBorders>
              <w:top w:val="nil"/>
              <w:left w:val="nil"/>
              <w:bottom w:val="nil"/>
              <w:right w:val="nil"/>
            </w:tcBorders>
          </w:tcPr>
          <w:p w14:paraId="1EF4EDB5"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3,081</w:t>
            </w:r>
          </w:p>
        </w:tc>
        <w:tc>
          <w:tcPr>
            <w:tcW w:w="838" w:type="dxa"/>
            <w:tcBorders>
              <w:top w:val="nil"/>
              <w:left w:val="nil"/>
              <w:bottom w:val="nil"/>
              <w:right w:val="nil"/>
            </w:tcBorders>
          </w:tcPr>
          <w:p w14:paraId="354FEB42"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(8.9)</w:t>
            </w:r>
          </w:p>
        </w:tc>
        <w:tc>
          <w:tcPr>
            <w:tcW w:w="1421" w:type="dxa"/>
            <w:tcBorders>
              <w:top w:val="nil"/>
              <w:left w:val="nil"/>
              <w:bottom w:val="nil"/>
              <w:right w:val="nil"/>
            </w:tcBorders>
          </w:tcPr>
          <w:p w14:paraId="560106C9"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37,510,854</w:t>
            </w:r>
            <w:proofErr w:type="gramEnd"/>
          </w:p>
        </w:tc>
        <w:tc>
          <w:tcPr>
            <w:tcW w:w="752" w:type="dxa"/>
            <w:tcBorders>
              <w:top w:val="nil"/>
              <w:left w:val="nil"/>
              <w:bottom w:val="nil"/>
              <w:right w:val="nil"/>
            </w:tcBorders>
          </w:tcPr>
          <w:p w14:paraId="006E35A0"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665</w:t>
            </w:r>
          </w:p>
        </w:tc>
        <w:tc>
          <w:tcPr>
            <w:tcW w:w="647" w:type="dxa"/>
            <w:tcBorders>
              <w:top w:val="nil"/>
              <w:left w:val="nil"/>
              <w:bottom w:val="nil"/>
              <w:right w:val="nil"/>
            </w:tcBorders>
          </w:tcPr>
          <w:p w14:paraId="1F0BDE1E"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(1.8)</w:t>
            </w:r>
          </w:p>
        </w:tc>
      </w:tr>
      <w:tr w:rsidR="00B552DA" w:rsidRPr="006916FC" w14:paraId="63302051" w14:textId="77777777" w:rsidTr="00B552DA">
        <w:trPr>
          <w:trHeight w:hRule="exact" w:val="448"/>
        </w:trPr>
        <w:tc>
          <w:tcPr>
            <w:tcW w:w="807" w:type="dxa"/>
            <w:tcBorders>
              <w:top w:val="nil"/>
              <w:left w:val="nil"/>
              <w:bottom w:val="nil"/>
              <w:right w:val="nil"/>
            </w:tcBorders>
          </w:tcPr>
          <w:p w14:paraId="47BDA158"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2002</w:t>
            </w:r>
          </w:p>
        </w:tc>
        <w:tc>
          <w:tcPr>
            <w:tcW w:w="1375" w:type="dxa"/>
            <w:tcBorders>
              <w:top w:val="nil"/>
              <w:left w:val="nil"/>
              <w:bottom w:val="nil"/>
              <w:right w:val="nil"/>
            </w:tcBorders>
          </w:tcPr>
          <w:p w14:paraId="50E38426"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48,737,418</w:t>
            </w:r>
            <w:proofErr w:type="gramEnd"/>
          </w:p>
        </w:tc>
        <w:tc>
          <w:tcPr>
            <w:tcW w:w="1605" w:type="dxa"/>
            <w:tcBorders>
              <w:top w:val="nil"/>
              <w:left w:val="nil"/>
              <w:bottom w:val="nil"/>
              <w:right w:val="nil"/>
            </w:tcBorders>
          </w:tcPr>
          <w:p w14:paraId="4351796D"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8,752</w:t>
            </w:r>
            <w:r w:rsidRPr="006916FC">
              <w:rPr>
                <w:rFonts w:ascii="Didot" w:eastAsia="Arial" w:hAnsi="Didot" w:cs="Didot"/>
                <w:spacing w:val="6"/>
                <w:w w:val="90"/>
                <w:sz w:val="20"/>
              </w:rPr>
              <w:t xml:space="preserve"> </w:t>
            </w:r>
            <w:r w:rsidRPr="006916FC">
              <w:rPr>
                <w:rFonts w:ascii="Didot" w:eastAsia="Arial" w:hAnsi="Didot" w:cs="Didot"/>
                <w:sz w:val="20"/>
              </w:rPr>
              <w:t>(18.0)</w:t>
            </w:r>
          </w:p>
        </w:tc>
        <w:tc>
          <w:tcPr>
            <w:tcW w:w="1421" w:type="dxa"/>
            <w:tcBorders>
              <w:top w:val="nil"/>
              <w:left w:val="nil"/>
              <w:bottom w:val="nil"/>
              <w:right w:val="nil"/>
            </w:tcBorders>
          </w:tcPr>
          <w:p w14:paraId="27AC1959"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51,224,129</w:t>
            </w:r>
            <w:proofErr w:type="gramEnd"/>
          </w:p>
        </w:tc>
        <w:tc>
          <w:tcPr>
            <w:tcW w:w="753" w:type="dxa"/>
            <w:tcBorders>
              <w:top w:val="nil"/>
              <w:left w:val="nil"/>
              <w:bottom w:val="nil"/>
              <w:right w:val="nil"/>
            </w:tcBorders>
          </w:tcPr>
          <w:p w14:paraId="10554181"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1,283</w:t>
            </w:r>
          </w:p>
        </w:tc>
        <w:tc>
          <w:tcPr>
            <w:tcW w:w="778" w:type="dxa"/>
            <w:tcBorders>
              <w:top w:val="nil"/>
              <w:left w:val="nil"/>
              <w:bottom w:val="nil"/>
              <w:right w:val="nil"/>
            </w:tcBorders>
          </w:tcPr>
          <w:p w14:paraId="31BEA0FF"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(2.5)</w:t>
            </w:r>
          </w:p>
        </w:tc>
        <w:tc>
          <w:tcPr>
            <w:tcW w:w="1421" w:type="dxa"/>
            <w:tcBorders>
              <w:top w:val="nil"/>
              <w:left w:val="nil"/>
              <w:bottom w:val="nil"/>
              <w:right w:val="nil"/>
            </w:tcBorders>
          </w:tcPr>
          <w:p w14:paraId="793313C6"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35,326,520</w:t>
            </w:r>
            <w:proofErr w:type="gramEnd"/>
          </w:p>
        </w:tc>
        <w:tc>
          <w:tcPr>
            <w:tcW w:w="704" w:type="dxa"/>
            <w:tcBorders>
              <w:top w:val="nil"/>
              <w:left w:val="nil"/>
              <w:bottom w:val="nil"/>
              <w:right w:val="nil"/>
            </w:tcBorders>
          </w:tcPr>
          <w:p w14:paraId="378A9B86"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3,183</w:t>
            </w:r>
          </w:p>
        </w:tc>
        <w:tc>
          <w:tcPr>
            <w:tcW w:w="838" w:type="dxa"/>
            <w:tcBorders>
              <w:top w:val="nil"/>
              <w:left w:val="nil"/>
              <w:bottom w:val="nil"/>
              <w:right w:val="nil"/>
            </w:tcBorders>
          </w:tcPr>
          <w:p w14:paraId="5B7D429D"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(9.0)</w:t>
            </w:r>
          </w:p>
        </w:tc>
        <w:tc>
          <w:tcPr>
            <w:tcW w:w="1421" w:type="dxa"/>
            <w:tcBorders>
              <w:top w:val="nil"/>
              <w:left w:val="nil"/>
              <w:bottom w:val="nil"/>
              <w:right w:val="nil"/>
            </w:tcBorders>
          </w:tcPr>
          <w:p w14:paraId="6F716031"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38,227,396</w:t>
            </w:r>
            <w:proofErr w:type="gramEnd"/>
          </w:p>
        </w:tc>
        <w:tc>
          <w:tcPr>
            <w:tcW w:w="752" w:type="dxa"/>
            <w:tcBorders>
              <w:top w:val="nil"/>
              <w:left w:val="nil"/>
              <w:bottom w:val="nil"/>
              <w:right w:val="nil"/>
            </w:tcBorders>
          </w:tcPr>
          <w:p w14:paraId="6B842BDD"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651</w:t>
            </w:r>
          </w:p>
        </w:tc>
        <w:tc>
          <w:tcPr>
            <w:tcW w:w="647" w:type="dxa"/>
            <w:tcBorders>
              <w:top w:val="nil"/>
              <w:left w:val="nil"/>
              <w:bottom w:val="nil"/>
              <w:right w:val="nil"/>
            </w:tcBorders>
          </w:tcPr>
          <w:p w14:paraId="4893A510"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(1.7)</w:t>
            </w:r>
          </w:p>
        </w:tc>
      </w:tr>
      <w:tr w:rsidR="00B552DA" w:rsidRPr="006916FC" w14:paraId="1BAA2F67" w14:textId="77777777" w:rsidTr="00B552DA">
        <w:trPr>
          <w:trHeight w:hRule="exact" w:val="448"/>
        </w:trPr>
        <w:tc>
          <w:tcPr>
            <w:tcW w:w="807" w:type="dxa"/>
            <w:tcBorders>
              <w:top w:val="nil"/>
              <w:left w:val="nil"/>
              <w:bottom w:val="nil"/>
              <w:right w:val="nil"/>
            </w:tcBorders>
          </w:tcPr>
          <w:p w14:paraId="4854A488"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2003</w:t>
            </w:r>
          </w:p>
        </w:tc>
        <w:tc>
          <w:tcPr>
            <w:tcW w:w="1375" w:type="dxa"/>
            <w:tcBorders>
              <w:top w:val="nil"/>
              <w:left w:val="nil"/>
              <w:bottom w:val="nil"/>
              <w:right w:val="nil"/>
            </w:tcBorders>
          </w:tcPr>
          <w:p w14:paraId="7238DED4"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49,249,335</w:t>
            </w:r>
            <w:proofErr w:type="gramEnd"/>
          </w:p>
        </w:tc>
        <w:tc>
          <w:tcPr>
            <w:tcW w:w="1605" w:type="dxa"/>
            <w:tcBorders>
              <w:top w:val="nil"/>
              <w:left w:val="nil"/>
              <w:bottom w:val="nil"/>
              <w:right w:val="nil"/>
            </w:tcBorders>
          </w:tcPr>
          <w:p w14:paraId="0AC95AAA"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8,680</w:t>
            </w:r>
            <w:r w:rsidRPr="006916FC">
              <w:rPr>
                <w:rFonts w:ascii="Didot" w:eastAsia="Arial" w:hAnsi="Didot" w:cs="Didot"/>
                <w:spacing w:val="6"/>
                <w:w w:val="90"/>
                <w:sz w:val="20"/>
              </w:rPr>
              <w:t xml:space="preserve"> </w:t>
            </w:r>
            <w:r w:rsidRPr="006916FC">
              <w:rPr>
                <w:rFonts w:ascii="Didot" w:eastAsia="Arial" w:hAnsi="Didot" w:cs="Didot"/>
                <w:sz w:val="20"/>
              </w:rPr>
              <w:t>(17.6)</w:t>
            </w:r>
          </w:p>
        </w:tc>
        <w:tc>
          <w:tcPr>
            <w:tcW w:w="1421" w:type="dxa"/>
            <w:tcBorders>
              <w:top w:val="nil"/>
              <w:left w:val="nil"/>
              <w:bottom w:val="nil"/>
              <w:right w:val="nil"/>
            </w:tcBorders>
          </w:tcPr>
          <w:p w14:paraId="69A7D1BF"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51,828,122</w:t>
            </w:r>
            <w:proofErr w:type="gramEnd"/>
          </w:p>
        </w:tc>
        <w:tc>
          <w:tcPr>
            <w:tcW w:w="753" w:type="dxa"/>
            <w:tcBorders>
              <w:top w:val="nil"/>
              <w:left w:val="nil"/>
              <w:bottom w:val="nil"/>
              <w:right w:val="nil"/>
            </w:tcBorders>
          </w:tcPr>
          <w:p w14:paraId="662669BF"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1,322</w:t>
            </w:r>
          </w:p>
        </w:tc>
        <w:tc>
          <w:tcPr>
            <w:tcW w:w="778" w:type="dxa"/>
            <w:tcBorders>
              <w:top w:val="nil"/>
              <w:left w:val="nil"/>
              <w:bottom w:val="nil"/>
              <w:right w:val="nil"/>
            </w:tcBorders>
          </w:tcPr>
          <w:p w14:paraId="6AB3AAA9"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(2.6)</w:t>
            </w:r>
          </w:p>
        </w:tc>
        <w:tc>
          <w:tcPr>
            <w:tcW w:w="1421" w:type="dxa"/>
            <w:tcBorders>
              <w:top w:val="nil"/>
              <w:left w:val="nil"/>
              <w:bottom w:val="nil"/>
              <w:right w:val="nil"/>
            </w:tcBorders>
          </w:tcPr>
          <w:p w14:paraId="09A71347"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35,946,202</w:t>
            </w:r>
            <w:proofErr w:type="gramEnd"/>
          </w:p>
        </w:tc>
        <w:tc>
          <w:tcPr>
            <w:tcW w:w="704" w:type="dxa"/>
            <w:tcBorders>
              <w:top w:val="nil"/>
              <w:left w:val="nil"/>
              <w:bottom w:val="nil"/>
              <w:right w:val="nil"/>
            </w:tcBorders>
          </w:tcPr>
          <w:p w14:paraId="699B4443"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3,385</w:t>
            </w:r>
          </w:p>
        </w:tc>
        <w:tc>
          <w:tcPr>
            <w:tcW w:w="838" w:type="dxa"/>
            <w:tcBorders>
              <w:top w:val="nil"/>
              <w:left w:val="nil"/>
              <w:bottom w:val="nil"/>
              <w:right w:val="nil"/>
            </w:tcBorders>
          </w:tcPr>
          <w:p w14:paraId="0496A465"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(9.4)</w:t>
            </w:r>
          </w:p>
        </w:tc>
        <w:tc>
          <w:tcPr>
            <w:tcW w:w="1421" w:type="dxa"/>
            <w:tcBorders>
              <w:top w:val="nil"/>
              <w:left w:val="nil"/>
              <w:bottom w:val="nil"/>
              <w:right w:val="nil"/>
            </w:tcBorders>
          </w:tcPr>
          <w:p w14:paraId="222D794E"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38,943,938</w:t>
            </w:r>
            <w:proofErr w:type="gramEnd"/>
          </w:p>
        </w:tc>
        <w:tc>
          <w:tcPr>
            <w:tcW w:w="752" w:type="dxa"/>
            <w:tcBorders>
              <w:top w:val="nil"/>
              <w:left w:val="nil"/>
              <w:bottom w:val="nil"/>
              <w:right w:val="nil"/>
            </w:tcBorders>
          </w:tcPr>
          <w:p w14:paraId="45936B2B"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687</w:t>
            </w:r>
          </w:p>
        </w:tc>
        <w:tc>
          <w:tcPr>
            <w:tcW w:w="647" w:type="dxa"/>
            <w:tcBorders>
              <w:top w:val="nil"/>
              <w:left w:val="nil"/>
              <w:bottom w:val="nil"/>
              <w:right w:val="nil"/>
            </w:tcBorders>
          </w:tcPr>
          <w:p w14:paraId="4383358D"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(1.8)</w:t>
            </w:r>
          </w:p>
        </w:tc>
      </w:tr>
      <w:tr w:rsidR="00B552DA" w:rsidRPr="006916FC" w14:paraId="4E136D95" w14:textId="77777777" w:rsidTr="00B552DA">
        <w:trPr>
          <w:trHeight w:hRule="exact" w:val="448"/>
        </w:trPr>
        <w:tc>
          <w:tcPr>
            <w:tcW w:w="807" w:type="dxa"/>
            <w:tcBorders>
              <w:top w:val="nil"/>
              <w:left w:val="nil"/>
              <w:bottom w:val="nil"/>
              <w:right w:val="nil"/>
            </w:tcBorders>
          </w:tcPr>
          <w:p w14:paraId="6AE93957"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2004</w:t>
            </w:r>
          </w:p>
        </w:tc>
        <w:tc>
          <w:tcPr>
            <w:tcW w:w="1375" w:type="dxa"/>
            <w:tcBorders>
              <w:top w:val="nil"/>
              <w:left w:val="nil"/>
              <w:bottom w:val="nil"/>
              <w:right w:val="nil"/>
            </w:tcBorders>
          </w:tcPr>
          <w:p w14:paraId="10499DEB"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49,761,253</w:t>
            </w:r>
            <w:proofErr w:type="gramEnd"/>
          </w:p>
        </w:tc>
        <w:tc>
          <w:tcPr>
            <w:tcW w:w="1605" w:type="dxa"/>
            <w:tcBorders>
              <w:top w:val="nil"/>
              <w:left w:val="nil"/>
              <w:bottom w:val="nil"/>
              <w:right w:val="nil"/>
            </w:tcBorders>
          </w:tcPr>
          <w:p w14:paraId="733BF5A4"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8,073</w:t>
            </w:r>
            <w:r w:rsidRPr="006916FC">
              <w:rPr>
                <w:rFonts w:ascii="Didot" w:eastAsia="Arial" w:hAnsi="Didot" w:cs="Didot"/>
                <w:spacing w:val="6"/>
                <w:w w:val="90"/>
                <w:sz w:val="20"/>
              </w:rPr>
              <w:t xml:space="preserve"> </w:t>
            </w:r>
            <w:r w:rsidRPr="006916FC">
              <w:rPr>
                <w:rFonts w:ascii="Didot" w:eastAsia="Arial" w:hAnsi="Didot" w:cs="Didot"/>
                <w:sz w:val="20"/>
              </w:rPr>
              <w:t>(16.2)</w:t>
            </w:r>
          </w:p>
        </w:tc>
        <w:tc>
          <w:tcPr>
            <w:tcW w:w="1421" w:type="dxa"/>
            <w:tcBorders>
              <w:top w:val="nil"/>
              <w:left w:val="nil"/>
              <w:bottom w:val="nil"/>
              <w:right w:val="nil"/>
            </w:tcBorders>
          </w:tcPr>
          <w:p w14:paraId="5E4B9A66"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52,432,114</w:t>
            </w:r>
            <w:proofErr w:type="gramEnd"/>
          </w:p>
        </w:tc>
        <w:tc>
          <w:tcPr>
            <w:tcW w:w="753" w:type="dxa"/>
            <w:tcBorders>
              <w:top w:val="nil"/>
              <w:left w:val="nil"/>
              <w:bottom w:val="nil"/>
              <w:right w:val="nil"/>
            </w:tcBorders>
          </w:tcPr>
          <w:p w14:paraId="156F24C8"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1,208</w:t>
            </w:r>
          </w:p>
        </w:tc>
        <w:tc>
          <w:tcPr>
            <w:tcW w:w="778" w:type="dxa"/>
            <w:tcBorders>
              <w:top w:val="nil"/>
              <w:left w:val="nil"/>
              <w:bottom w:val="nil"/>
              <w:right w:val="nil"/>
            </w:tcBorders>
          </w:tcPr>
          <w:p w14:paraId="63E2CB72"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(2.3)</w:t>
            </w:r>
          </w:p>
        </w:tc>
        <w:tc>
          <w:tcPr>
            <w:tcW w:w="1421" w:type="dxa"/>
            <w:tcBorders>
              <w:top w:val="nil"/>
              <w:left w:val="nil"/>
              <w:bottom w:val="nil"/>
              <w:right w:val="nil"/>
            </w:tcBorders>
          </w:tcPr>
          <w:p w14:paraId="0EA3B680"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36,565,884</w:t>
            </w:r>
            <w:proofErr w:type="gramEnd"/>
          </w:p>
        </w:tc>
        <w:tc>
          <w:tcPr>
            <w:tcW w:w="704" w:type="dxa"/>
            <w:tcBorders>
              <w:top w:val="nil"/>
              <w:left w:val="nil"/>
              <w:bottom w:val="nil"/>
              <w:right w:val="nil"/>
            </w:tcBorders>
          </w:tcPr>
          <w:p w14:paraId="399CF70F"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3,393</w:t>
            </w:r>
          </w:p>
        </w:tc>
        <w:tc>
          <w:tcPr>
            <w:tcW w:w="838" w:type="dxa"/>
            <w:tcBorders>
              <w:top w:val="nil"/>
              <w:left w:val="nil"/>
              <w:bottom w:val="nil"/>
              <w:right w:val="nil"/>
            </w:tcBorders>
          </w:tcPr>
          <w:p w14:paraId="55BEDAE2"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(9.3)</w:t>
            </w:r>
          </w:p>
        </w:tc>
        <w:tc>
          <w:tcPr>
            <w:tcW w:w="1421" w:type="dxa"/>
            <w:tcBorders>
              <w:top w:val="nil"/>
              <w:left w:val="nil"/>
              <w:bottom w:val="nil"/>
              <w:right w:val="nil"/>
            </w:tcBorders>
          </w:tcPr>
          <w:p w14:paraId="15DFE12D"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39,660,481</w:t>
            </w:r>
            <w:proofErr w:type="gramEnd"/>
          </w:p>
        </w:tc>
        <w:tc>
          <w:tcPr>
            <w:tcW w:w="752" w:type="dxa"/>
            <w:tcBorders>
              <w:top w:val="nil"/>
              <w:left w:val="nil"/>
              <w:bottom w:val="nil"/>
              <w:right w:val="nil"/>
            </w:tcBorders>
          </w:tcPr>
          <w:p w14:paraId="48CE435B"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667</w:t>
            </w:r>
          </w:p>
        </w:tc>
        <w:tc>
          <w:tcPr>
            <w:tcW w:w="647" w:type="dxa"/>
            <w:tcBorders>
              <w:top w:val="nil"/>
              <w:left w:val="nil"/>
              <w:bottom w:val="nil"/>
              <w:right w:val="nil"/>
            </w:tcBorders>
          </w:tcPr>
          <w:p w14:paraId="2BFAC2E4"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(1.7)</w:t>
            </w:r>
          </w:p>
        </w:tc>
      </w:tr>
      <w:tr w:rsidR="00B552DA" w:rsidRPr="006916FC" w14:paraId="40DFFA62" w14:textId="77777777" w:rsidTr="00B552DA">
        <w:trPr>
          <w:trHeight w:hRule="exact" w:val="448"/>
        </w:trPr>
        <w:tc>
          <w:tcPr>
            <w:tcW w:w="807" w:type="dxa"/>
            <w:tcBorders>
              <w:top w:val="nil"/>
              <w:left w:val="nil"/>
              <w:bottom w:val="nil"/>
              <w:right w:val="nil"/>
            </w:tcBorders>
          </w:tcPr>
          <w:p w14:paraId="5A5FD547"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2005</w:t>
            </w:r>
          </w:p>
        </w:tc>
        <w:tc>
          <w:tcPr>
            <w:tcW w:w="1375" w:type="dxa"/>
            <w:tcBorders>
              <w:top w:val="nil"/>
              <w:left w:val="nil"/>
              <w:bottom w:val="nil"/>
              <w:right w:val="nil"/>
            </w:tcBorders>
          </w:tcPr>
          <w:p w14:paraId="2985F111"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50,273,170</w:t>
            </w:r>
            <w:proofErr w:type="gramEnd"/>
          </w:p>
        </w:tc>
        <w:tc>
          <w:tcPr>
            <w:tcW w:w="1605" w:type="dxa"/>
            <w:tcBorders>
              <w:top w:val="nil"/>
              <w:left w:val="nil"/>
              <w:bottom w:val="nil"/>
              <w:right w:val="nil"/>
            </w:tcBorders>
          </w:tcPr>
          <w:p w14:paraId="127DDEB6"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8,600</w:t>
            </w:r>
            <w:r w:rsidRPr="006916FC">
              <w:rPr>
                <w:rFonts w:ascii="Didot" w:eastAsia="Arial" w:hAnsi="Didot" w:cs="Didot"/>
                <w:spacing w:val="6"/>
                <w:w w:val="90"/>
                <w:sz w:val="20"/>
              </w:rPr>
              <w:t xml:space="preserve"> </w:t>
            </w:r>
            <w:r w:rsidRPr="006916FC">
              <w:rPr>
                <w:rFonts w:ascii="Didot" w:eastAsia="Arial" w:hAnsi="Didot" w:cs="Didot"/>
                <w:sz w:val="20"/>
              </w:rPr>
              <w:t>(17.1)</w:t>
            </w:r>
          </w:p>
        </w:tc>
        <w:tc>
          <w:tcPr>
            <w:tcW w:w="1421" w:type="dxa"/>
            <w:tcBorders>
              <w:top w:val="nil"/>
              <w:left w:val="nil"/>
              <w:bottom w:val="nil"/>
              <w:right w:val="nil"/>
            </w:tcBorders>
          </w:tcPr>
          <w:p w14:paraId="01D5B52D"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53,036,107</w:t>
            </w:r>
            <w:proofErr w:type="gramEnd"/>
          </w:p>
        </w:tc>
        <w:tc>
          <w:tcPr>
            <w:tcW w:w="753" w:type="dxa"/>
            <w:tcBorders>
              <w:top w:val="nil"/>
              <w:left w:val="nil"/>
              <w:bottom w:val="nil"/>
              <w:right w:val="nil"/>
            </w:tcBorders>
          </w:tcPr>
          <w:p w14:paraId="7E9436A4"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1,294</w:t>
            </w:r>
          </w:p>
        </w:tc>
        <w:tc>
          <w:tcPr>
            <w:tcW w:w="778" w:type="dxa"/>
            <w:tcBorders>
              <w:top w:val="nil"/>
              <w:left w:val="nil"/>
              <w:bottom w:val="nil"/>
              <w:right w:val="nil"/>
            </w:tcBorders>
          </w:tcPr>
          <w:p w14:paraId="170133BC"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(2.4)</w:t>
            </w:r>
          </w:p>
        </w:tc>
        <w:tc>
          <w:tcPr>
            <w:tcW w:w="1421" w:type="dxa"/>
            <w:tcBorders>
              <w:top w:val="nil"/>
              <w:left w:val="nil"/>
              <w:bottom w:val="nil"/>
              <w:right w:val="nil"/>
            </w:tcBorders>
          </w:tcPr>
          <w:p w14:paraId="242A6AF8"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37,185,566</w:t>
            </w:r>
            <w:proofErr w:type="gramEnd"/>
          </w:p>
        </w:tc>
        <w:tc>
          <w:tcPr>
            <w:tcW w:w="704" w:type="dxa"/>
            <w:tcBorders>
              <w:top w:val="nil"/>
              <w:left w:val="nil"/>
              <w:bottom w:val="nil"/>
              <w:right w:val="nil"/>
            </w:tcBorders>
          </w:tcPr>
          <w:p w14:paraId="0A56845D"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3,553</w:t>
            </w:r>
          </w:p>
        </w:tc>
        <w:tc>
          <w:tcPr>
            <w:tcW w:w="838" w:type="dxa"/>
            <w:tcBorders>
              <w:top w:val="nil"/>
              <w:left w:val="nil"/>
              <w:bottom w:val="nil"/>
              <w:right w:val="nil"/>
            </w:tcBorders>
          </w:tcPr>
          <w:p w14:paraId="34209637"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(9.6)</w:t>
            </w:r>
          </w:p>
        </w:tc>
        <w:tc>
          <w:tcPr>
            <w:tcW w:w="1421" w:type="dxa"/>
            <w:tcBorders>
              <w:top w:val="nil"/>
              <w:left w:val="nil"/>
              <w:bottom w:val="nil"/>
              <w:right w:val="nil"/>
            </w:tcBorders>
          </w:tcPr>
          <w:p w14:paraId="612F78D2"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40,377,023</w:t>
            </w:r>
            <w:proofErr w:type="gramEnd"/>
          </w:p>
        </w:tc>
        <w:tc>
          <w:tcPr>
            <w:tcW w:w="752" w:type="dxa"/>
            <w:tcBorders>
              <w:top w:val="nil"/>
              <w:left w:val="nil"/>
              <w:bottom w:val="nil"/>
              <w:right w:val="nil"/>
            </w:tcBorders>
          </w:tcPr>
          <w:p w14:paraId="753AFD02"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730</w:t>
            </w:r>
          </w:p>
        </w:tc>
        <w:tc>
          <w:tcPr>
            <w:tcW w:w="647" w:type="dxa"/>
            <w:tcBorders>
              <w:top w:val="nil"/>
              <w:left w:val="nil"/>
              <w:bottom w:val="nil"/>
              <w:right w:val="nil"/>
            </w:tcBorders>
          </w:tcPr>
          <w:p w14:paraId="73092511"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(1.8)</w:t>
            </w:r>
          </w:p>
        </w:tc>
      </w:tr>
      <w:tr w:rsidR="00B552DA" w:rsidRPr="006916FC" w14:paraId="090BD1F3" w14:textId="77777777" w:rsidTr="00B552DA">
        <w:trPr>
          <w:trHeight w:hRule="exact" w:val="448"/>
        </w:trPr>
        <w:tc>
          <w:tcPr>
            <w:tcW w:w="807" w:type="dxa"/>
            <w:tcBorders>
              <w:top w:val="nil"/>
              <w:left w:val="nil"/>
              <w:bottom w:val="nil"/>
              <w:right w:val="nil"/>
            </w:tcBorders>
          </w:tcPr>
          <w:p w14:paraId="6B954928"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2006</w:t>
            </w:r>
          </w:p>
        </w:tc>
        <w:tc>
          <w:tcPr>
            <w:tcW w:w="1375" w:type="dxa"/>
            <w:tcBorders>
              <w:top w:val="nil"/>
              <w:left w:val="nil"/>
              <w:bottom w:val="nil"/>
              <w:right w:val="nil"/>
            </w:tcBorders>
          </w:tcPr>
          <w:p w14:paraId="59246F47"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51,189,582</w:t>
            </w:r>
            <w:proofErr w:type="gramEnd"/>
          </w:p>
        </w:tc>
        <w:tc>
          <w:tcPr>
            <w:tcW w:w="1605" w:type="dxa"/>
            <w:tcBorders>
              <w:top w:val="nil"/>
              <w:left w:val="nil"/>
              <w:bottom w:val="nil"/>
              <w:right w:val="nil"/>
            </w:tcBorders>
          </w:tcPr>
          <w:p w14:paraId="65CDD86C"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9,079</w:t>
            </w:r>
            <w:r w:rsidRPr="006916FC">
              <w:rPr>
                <w:rFonts w:ascii="Didot" w:eastAsia="Arial" w:hAnsi="Didot" w:cs="Didot"/>
                <w:spacing w:val="6"/>
                <w:w w:val="90"/>
                <w:sz w:val="20"/>
              </w:rPr>
              <w:t xml:space="preserve"> </w:t>
            </w:r>
            <w:r w:rsidRPr="006916FC">
              <w:rPr>
                <w:rFonts w:ascii="Didot" w:eastAsia="Arial" w:hAnsi="Didot" w:cs="Didot"/>
                <w:sz w:val="20"/>
              </w:rPr>
              <w:t>(17.7)</w:t>
            </w:r>
          </w:p>
        </w:tc>
        <w:tc>
          <w:tcPr>
            <w:tcW w:w="1421" w:type="dxa"/>
            <w:tcBorders>
              <w:top w:val="nil"/>
              <w:left w:val="nil"/>
              <w:bottom w:val="nil"/>
              <w:right w:val="nil"/>
            </w:tcBorders>
          </w:tcPr>
          <w:p w14:paraId="24F49B13"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53,925,147</w:t>
            </w:r>
            <w:proofErr w:type="gramEnd"/>
          </w:p>
        </w:tc>
        <w:tc>
          <w:tcPr>
            <w:tcW w:w="753" w:type="dxa"/>
            <w:tcBorders>
              <w:top w:val="nil"/>
              <w:left w:val="nil"/>
              <w:bottom w:val="nil"/>
              <w:right w:val="nil"/>
            </w:tcBorders>
          </w:tcPr>
          <w:p w14:paraId="56EDFAB2"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1,295</w:t>
            </w:r>
          </w:p>
        </w:tc>
        <w:tc>
          <w:tcPr>
            <w:tcW w:w="778" w:type="dxa"/>
            <w:tcBorders>
              <w:top w:val="nil"/>
              <w:left w:val="nil"/>
              <w:bottom w:val="nil"/>
              <w:right w:val="nil"/>
            </w:tcBorders>
          </w:tcPr>
          <w:p w14:paraId="02B773DB"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(2.4)</w:t>
            </w:r>
          </w:p>
        </w:tc>
        <w:tc>
          <w:tcPr>
            <w:tcW w:w="1421" w:type="dxa"/>
            <w:tcBorders>
              <w:top w:val="nil"/>
              <w:left w:val="nil"/>
              <w:bottom w:val="nil"/>
              <w:right w:val="nil"/>
            </w:tcBorders>
          </w:tcPr>
          <w:p w14:paraId="52E44F55"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38,045,581</w:t>
            </w:r>
            <w:proofErr w:type="gramEnd"/>
          </w:p>
        </w:tc>
        <w:tc>
          <w:tcPr>
            <w:tcW w:w="704" w:type="dxa"/>
            <w:tcBorders>
              <w:top w:val="nil"/>
              <w:left w:val="nil"/>
              <w:bottom w:val="nil"/>
              <w:right w:val="nil"/>
            </w:tcBorders>
          </w:tcPr>
          <w:p w14:paraId="1BC44142"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3,522</w:t>
            </w:r>
          </w:p>
        </w:tc>
        <w:tc>
          <w:tcPr>
            <w:tcW w:w="838" w:type="dxa"/>
            <w:tcBorders>
              <w:top w:val="nil"/>
              <w:left w:val="nil"/>
              <w:bottom w:val="nil"/>
              <w:right w:val="nil"/>
            </w:tcBorders>
          </w:tcPr>
          <w:p w14:paraId="53082F22"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(9.3)</w:t>
            </w:r>
          </w:p>
        </w:tc>
        <w:tc>
          <w:tcPr>
            <w:tcW w:w="1421" w:type="dxa"/>
            <w:tcBorders>
              <w:top w:val="nil"/>
              <w:left w:val="nil"/>
              <w:bottom w:val="nil"/>
              <w:right w:val="nil"/>
            </w:tcBorders>
          </w:tcPr>
          <w:p w14:paraId="7C0500FE"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41,207,151</w:t>
            </w:r>
            <w:proofErr w:type="gramEnd"/>
          </w:p>
        </w:tc>
        <w:tc>
          <w:tcPr>
            <w:tcW w:w="752" w:type="dxa"/>
            <w:tcBorders>
              <w:top w:val="nil"/>
              <w:left w:val="nil"/>
              <w:bottom w:val="nil"/>
              <w:right w:val="nil"/>
            </w:tcBorders>
          </w:tcPr>
          <w:p w14:paraId="670401B6"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705</w:t>
            </w:r>
          </w:p>
        </w:tc>
        <w:tc>
          <w:tcPr>
            <w:tcW w:w="647" w:type="dxa"/>
            <w:tcBorders>
              <w:top w:val="nil"/>
              <w:left w:val="nil"/>
              <w:bottom w:val="nil"/>
              <w:right w:val="nil"/>
            </w:tcBorders>
          </w:tcPr>
          <w:p w14:paraId="1FC2A39F"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(1.7)</w:t>
            </w:r>
          </w:p>
        </w:tc>
      </w:tr>
      <w:tr w:rsidR="00B552DA" w:rsidRPr="006916FC" w14:paraId="624A9F45" w14:textId="77777777" w:rsidTr="00B552DA">
        <w:trPr>
          <w:trHeight w:hRule="exact" w:val="448"/>
        </w:trPr>
        <w:tc>
          <w:tcPr>
            <w:tcW w:w="807" w:type="dxa"/>
            <w:tcBorders>
              <w:top w:val="nil"/>
              <w:left w:val="nil"/>
              <w:bottom w:val="nil"/>
              <w:right w:val="nil"/>
            </w:tcBorders>
          </w:tcPr>
          <w:p w14:paraId="2581F9D2"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2007</w:t>
            </w:r>
          </w:p>
        </w:tc>
        <w:tc>
          <w:tcPr>
            <w:tcW w:w="1375" w:type="dxa"/>
            <w:tcBorders>
              <w:top w:val="nil"/>
              <w:left w:val="nil"/>
              <w:bottom w:val="nil"/>
              <w:right w:val="nil"/>
            </w:tcBorders>
          </w:tcPr>
          <w:p w14:paraId="0659BD04"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52,105,994</w:t>
            </w:r>
            <w:proofErr w:type="gramEnd"/>
          </w:p>
        </w:tc>
        <w:tc>
          <w:tcPr>
            <w:tcW w:w="1605" w:type="dxa"/>
            <w:tcBorders>
              <w:top w:val="nil"/>
              <w:left w:val="nil"/>
              <w:bottom w:val="nil"/>
              <w:right w:val="nil"/>
            </w:tcBorders>
          </w:tcPr>
          <w:p w14:paraId="3BB5001F" w14:textId="77777777" w:rsidR="00B552DA" w:rsidRPr="006916FC" w:rsidRDefault="00B552DA" w:rsidP="008A7E29">
            <w:pPr>
              <w:spacing w:before="82"/>
              <w:ind w:left="240" w:right="-20"/>
              <w:jc w:val="both"/>
              <w:rPr>
                <w:rFonts w:ascii="Didot" w:eastAsia="Arial" w:hAnsi="Didot" w:cs="Didot"/>
                <w:sz w:val="20"/>
              </w:rPr>
            </w:pPr>
            <w:r w:rsidRPr="006916FC">
              <w:rPr>
                <w:rFonts w:ascii="Didot" w:eastAsia="Arial" w:hAnsi="Didot" w:cs="Didot"/>
                <w:w w:val="90"/>
                <w:sz w:val="20"/>
              </w:rPr>
              <w:t>7,711</w:t>
            </w:r>
            <w:r w:rsidRPr="006916FC">
              <w:rPr>
                <w:rFonts w:ascii="Didot" w:eastAsia="Arial" w:hAnsi="Didot" w:cs="Didot"/>
                <w:spacing w:val="6"/>
                <w:w w:val="90"/>
                <w:sz w:val="20"/>
              </w:rPr>
              <w:t xml:space="preserve"> </w:t>
            </w:r>
            <w:r w:rsidRPr="006916FC">
              <w:rPr>
                <w:rFonts w:ascii="Didot" w:eastAsia="Arial" w:hAnsi="Didot" w:cs="Didot"/>
                <w:sz w:val="20"/>
              </w:rPr>
              <w:t>(14.8)</w:t>
            </w:r>
          </w:p>
        </w:tc>
        <w:tc>
          <w:tcPr>
            <w:tcW w:w="1421" w:type="dxa"/>
            <w:tcBorders>
              <w:top w:val="nil"/>
              <w:left w:val="nil"/>
              <w:bottom w:val="nil"/>
              <w:right w:val="nil"/>
            </w:tcBorders>
          </w:tcPr>
          <w:p w14:paraId="29D26B8C"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54,814,187</w:t>
            </w:r>
            <w:proofErr w:type="gramEnd"/>
          </w:p>
        </w:tc>
        <w:tc>
          <w:tcPr>
            <w:tcW w:w="753" w:type="dxa"/>
            <w:tcBorders>
              <w:top w:val="nil"/>
              <w:left w:val="nil"/>
              <w:bottom w:val="nil"/>
              <w:right w:val="nil"/>
            </w:tcBorders>
          </w:tcPr>
          <w:p w14:paraId="08749BE0"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1,080</w:t>
            </w:r>
          </w:p>
        </w:tc>
        <w:tc>
          <w:tcPr>
            <w:tcW w:w="778" w:type="dxa"/>
            <w:tcBorders>
              <w:top w:val="nil"/>
              <w:left w:val="nil"/>
              <w:bottom w:val="nil"/>
              <w:right w:val="nil"/>
            </w:tcBorders>
          </w:tcPr>
          <w:p w14:paraId="7C8C94D2"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(2.0)</w:t>
            </w:r>
          </w:p>
        </w:tc>
        <w:tc>
          <w:tcPr>
            <w:tcW w:w="1421" w:type="dxa"/>
            <w:tcBorders>
              <w:top w:val="nil"/>
              <w:left w:val="nil"/>
              <w:bottom w:val="nil"/>
              <w:right w:val="nil"/>
            </w:tcBorders>
          </w:tcPr>
          <w:p w14:paraId="38364230"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38,905,595</w:t>
            </w:r>
            <w:proofErr w:type="gramEnd"/>
          </w:p>
        </w:tc>
        <w:tc>
          <w:tcPr>
            <w:tcW w:w="704" w:type="dxa"/>
            <w:tcBorders>
              <w:top w:val="nil"/>
              <w:left w:val="nil"/>
              <w:bottom w:val="nil"/>
              <w:right w:val="nil"/>
            </w:tcBorders>
          </w:tcPr>
          <w:p w14:paraId="1495F5B2"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3,610</w:t>
            </w:r>
          </w:p>
        </w:tc>
        <w:tc>
          <w:tcPr>
            <w:tcW w:w="838" w:type="dxa"/>
            <w:tcBorders>
              <w:top w:val="nil"/>
              <w:left w:val="nil"/>
              <w:bottom w:val="nil"/>
              <w:right w:val="nil"/>
            </w:tcBorders>
          </w:tcPr>
          <w:p w14:paraId="57FF615D"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(9.3)</w:t>
            </w:r>
          </w:p>
        </w:tc>
        <w:tc>
          <w:tcPr>
            <w:tcW w:w="1421" w:type="dxa"/>
            <w:tcBorders>
              <w:top w:val="nil"/>
              <w:left w:val="nil"/>
              <w:bottom w:val="nil"/>
              <w:right w:val="nil"/>
            </w:tcBorders>
          </w:tcPr>
          <w:p w14:paraId="7B47135C"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42,037,279</w:t>
            </w:r>
            <w:proofErr w:type="gramEnd"/>
          </w:p>
        </w:tc>
        <w:tc>
          <w:tcPr>
            <w:tcW w:w="752" w:type="dxa"/>
            <w:tcBorders>
              <w:top w:val="nil"/>
              <w:left w:val="nil"/>
              <w:bottom w:val="nil"/>
              <w:right w:val="nil"/>
            </w:tcBorders>
          </w:tcPr>
          <w:p w14:paraId="70BEA3CF"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768</w:t>
            </w:r>
          </w:p>
        </w:tc>
        <w:tc>
          <w:tcPr>
            <w:tcW w:w="647" w:type="dxa"/>
            <w:tcBorders>
              <w:top w:val="nil"/>
              <w:left w:val="nil"/>
              <w:bottom w:val="nil"/>
              <w:right w:val="nil"/>
            </w:tcBorders>
          </w:tcPr>
          <w:p w14:paraId="5C9F31E9"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(1.8)</w:t>
            </w:r>
          </w:p>
        </w:tc>
      </w:tr>
      <w:tr w:rsidR="00B552DA" w:rsidRPr="006916FC" w14:paraId="2FEBED23" w14:textId="77777777" w:rsidTr="00B552DA">
        <w:trPr>
          <w:trHeight w:hRule="exact" w:val="448"/>
        </w:trPr>
        <w:tc>
          <w:tcPr>
            <w:tcW w:w="807" w:type="dxa"/>
            <w:tcBorders>
              <w:top w:val="nil"/>
              <w:left w:val="nil"/>
              <w:bottom w:val="nil"/>
              <w:right w:val="nil"/>
            </w:tcBorders>
          </w:tcPr>
          <w:p w14:paraId="63CCFBEC"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2008</w:t>
            </w:r>
          </w:p>
        </w:tc>
        <w:tc>
          <w:tcPr>
            <w:tcW w:w="1375" w:type="dxa"/>
            <w:tcBorders>
              <w:top w:val="nil"/>
              <w:left w:val="nil"/>
              <w:bottom w:val="nil"/>
              <w:right w:val="nil"/>
            </w:tcBorders>
          </w:tcPr>
          <w:p w14:paraId="49E96F1D"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53,022,407</w:t>
            </w:r>
            <w:proofErr w:type="gramEnd"/>
          </w:p>
        </w:tc>
        <w:tc>
          <w:tcPr>
            <w:tcW w:w="1605" w:type="dxa"/>
            <w:tcBorders>
              <w:top w:val="nil"/>
              <w:left w:val="nil"/>
              <w:bottom w:val="nil"/>
              <w:right w:val="nil"/>
            </w:tcBorders>
          </w:tcPr>
          <w:p w14:paraId="1B589855" w14:textId="77777777" w:rsidR="00B552DA" w:rsidRPr="006916FC" w:rsidRDefault="00B552DA" w:rsidP="008A7E29">
            <w:pPr>
              <w:spacing w:before="82"/>
              <w:ind w:left="131" w:right="-20"/>
              <w:jc w:val="both"/>
              <w:rPr>
                <w:rFonts w:ascii="Didot" w:eastAsia="Arial" w:hAnsi="Didot" w:cs="Didot"/>
                <w:sz w:val="20"/>
              </w:rPr>
            </w:pPr>
            <w:r w:rsidRPr="006916FC">
              <w:rPr>
                <w:rFonts w:ascii="Didot" w:eastAsia="Arial" w:hAnsi="Didot" w:cs="Didot"/>
                <w:w w:val="90"/>
                <w:sz w:val="20"/>
              </w:rPr>
              <w:t>12,726</w:t>
            </w:r>
            <w:r w:rsidRPr="006916FC">
              <w:rPr>
                <w:rFonts w:ascii="Didot" w:eastAsia="Arial" w:hAnsi="Didot" w:cs="Didot"/>
                <w:spacing w:val="6"/>
                <w:w w:val="90"/>
                <w:sz w:val="20"/>
              </w:rPr>
              <w:t xml:space="preserve"> </w:t>
            </w:r>
            <w:r w:rsidRPr="006916FC">
              <w:rPr>
                <w:rFonts w:ascii="Didot" w:eastAsia="Arial" w:hAnsi="Didot" w:cs="Didot"/>
                <w:sz w:val="20"/>
              </w:rPr>
              <w:t>(24.0)</w:t>
            </w:r>
          </w:p>
        </w:tc>
        <w:tc>
          <w:tcPr>
            <w:tcW w:w="1421" w:type="dxa"/>
            <w:tcBorders>
              <w:top w:val="nil"/>
              <w:left w:val="nil"/>
              <w:bottom w:val="nil"/>
              <w:right w:val="nil"/>
            </w:tcBorders>
          </w:tcPr>
          <w:p w14:paraId="30D8C4D4"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55,703,227</w:t>
            </w:r>
            <w:proofErr w:type="gramEnd"/>
          </w:p>
        </w:tc>
        <w:tc>
          <w:tcPr>
            <w:tcW w:w="753" w:type="dxa"/>
            <w:tcBorders>
              <w:top w:val="nil"/>
              <w:left w:val="nil"/>
              <w:bottom w:val="nil"/>
              <w:right w:val="nil"/>
            </w:tcBorders>
          </w:tcPr>
          <w:p w14:paraId="0703CB97"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1,434</w:t>
            </w:r>
          </w:p>
        </w:tc>
        <w:tc>
          <w:tcPr>
            <w:tcW w:w="778" w:type="dxa"/>
            <w:tcBorders>
              <w:top w:val="nil"/>
              <w:left w:val="nil"/>
              <w:bottom w:val="nil"/>
              <w:right w:val="nil"/>
            </w:tcBorders>
          </w:tcPr>
          <w:p w14:paraId="37A619C7"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(2.6)</w:t>
            </w:r>
          </w:p>
        </w:tc>
        <w:tc>
          <w:tcPr>
            <w:tcW w:w="1421" w:type="dxa"/>
            <w:tcBorders>
              <w:top w:val="nil"/>
              <w:left w:val="nil"/>
              <w:bottom w:val="nil"/>
              <w:right w:val="nil"/>
            </w:tcBorders>
          </w:tcPr>
          <w:p w14:paraId="7A37AA6D"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39,765,609</w:t>
            </w:r>
            <w:proofErr w:type="gramEnd"/>
          </w:p>
        </w:tc>
        <w:tc>
          <w:tcPr>
            <w:tcW w:w="704" w:type="dxa"/>
            <w:tcBorders>
              <w:top w:val="nil"/>
              <w:left w:val="nil"/>
              <w:bottom w:val="nil"/>
              <w:right w:val="nil"/>
            </w:tcBorders>
          </w:tcPr>
          <w:p w14:paraId="44920E36"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3,798</w:t>
            </w:r>
          </w:p>
        </w:tc>
        <w:tc>
          <w:tcPr>
            <w:tcW w:w="838" w:type="dxa"/>
            <w:tcBorders>
              <w:top w:val="nil"/>
              <w:left w:val="nil"/>
              <w:bottom w:val="nil"/>
              <w:right w:val="nil"/>
            </w:tcBorders>
          </w:tcPr>
          <w:p w14:paraId="3237F5C6"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(9.6)</w:t>
            </w:r>
          </w:p>
        </w:tc>
        <w:tc>
          <w:tcPr>
            <w:tcW w:w="1421" w:type="dxa"/>
            <w:tcBorders>
              <w:top w:val="nil"/>
              <w:left w:val="nil"/>
              <w:bottom w:val="nil"/>
              <w:right w:val="nil"/>
            </w:tcBorders>
          </w:tcPr>
          <w:p w14:paraId="27DC83B3"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42,867,408</w:t>
            </w:r>
            <w:proofErr w:type="gramEnd"/>
          </w:p>
        </w:tc>
        <w:tc>
          <w:tcPr>
            <w:tcW w:w="752" w:type="dxa"/>
            <w:tcBorders>
              <w:top w:val="nil"/>
              <w:left w:val="nil"/>
              <w:bottom w:val="nil"/>
              <w:right w:val="nil"/>
            </w:tcBorders>
          </w:tcPr>
          <w:p w14:paraId="51B52A8A"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852</w:t>
            </w:r>
          </w:p>
        </w:tc>
        <w:tc>
          <w:tcPr>
            <w:tcW w:w="647" w:type="dxa"/>
            <w:tcBorders>
              <w:top w:val="nil"/>
              <w:left w:val="nil"/>
              <w:bottom w:val="nil"/>
              <w:right w:val="nil"/>
            </w:tcBorders>
          </w:tcPr>
          <w:p w14:paraId="2E2DD909"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(2.0)</w:t>
            </w:r>
          </w:p>
        </w:tc>
      </w:tr>
      <w:tr w:rsidR="00B552DA" w:rsidRPr="006916FC" w14:paraId="4DA34E93" w14:textId="77777777" w:rsidTr="00B552DA">
        <w:trPr>
          <w:trHeight w:hRule="exact" w:val="448"/>
        </w:trPr>
        <w:tc>
          <w:tcPr>
            <w:tcW w:w="807" w:type="dxa"/>
            <w:tcBorders>
              <w:top w:val="nil"/>
              <w:left w:val="nil"/>
              <w:bottom w:val="nil"/>
              <w:right w:val="nil"/>
            </w:tcBorders>
          </w:tcPr>
          <w:p w14:paraId="08F51A68"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2009</w:t>
            </w:r>
          </w:p>
        </w:tc>
        <w:tc>
          <w:tcPr>
            <w:tcW w:w="1375" w:type="dxa"/>
            <w:tcBorders>
              <w:top w:val="nil"/>
              <w:left w:val="nil"/>
              <w:bottom w:val="nil"/>
              <w:right w:val="nil"/>
            </w:tcBorders>
          </w:tcPr>
          <w:p w14:paraId="3E02AE38"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53,938,819</w:t>
            </w:r>
            <w:proofErr w:type="gramEnd"/>
          </w:p>
        </w:tc>
        <w:tc>
          <w:tcPr>
            <w:tcW w:w="1605" w:type="dxa"/>
            <w:tcBorders>
              <w:top w:val="nil"/>
              <w:left w:val="nil"/>
              <w:bottom w:val="nil"/>
              <w:right w:val="nil"/>
            </w:tcBorders>
          </w:tcPr>
          <w:p w14:paraId="07E27B28" w14:textId="77777777" w:rsidR="00B552DA" w:rsidRPr="006916FC" w:rsidRDefault="00B552DA" w:rsidP="008A7E29">
            <w:pPr>
              <w:spacing w:before="82"/>
              <w:ind w:left="131" w:right="-20"/>
              <w:jc w:val="both"/>
              <w:rPr>
                <w:rFonts w:ascii="Didot" w:eastAsia="Arial" w:hAnsi="Didot" w:cs="Didot"/>
                <w:sz w:val="20"/>
              </w:rPr>
            </w:pPr>
            <w:r w:rsidRPr="006916FC">
              <w:rPr>
                <w:rFonts w:ascii="Didot" w:eastAsia="Arial" w:hAnsi="Didot" w:cs="Didot"/>
                <w:w w:val="90"/>
                <w:sz w:val="20"/>
              </w:rPr>
              <w:t>17,817</w:t>
            </w:r>
            <w:r w:rsidRPr="006916FC">
              <w:rPr>
                <w:rFonts w:ascii="Didot" w:eastAsia="Arial" w:hAnsi="Didot" w:cs="Didot"/>
                <w:spacing w:val="6"/>
                <w:w w:val="90"/>
                <w:sz w:val="20"/>
              </w:rPr>
              <w:t xml:space="preserve"> </w:t>
            </w:r>
            <w:r w:rsidRPr="006916FC">
              <w:rPr>
                <w:rFonts w:ascii="Didot" w:eastAsia="Arial" w:hAnsi="Didot" w:cs="Didot"/>
                <w:sz w:val="20"/>
              </w:rPr>
              <w:t>(33.0)</w:t>
            </w:r>
          </w:p>
        </w:tc>
        <w:tc>
          <w:tcPr>
            <w:tcW w:w="1421" w:type="dxa"/>
            <w:tcBorders>
              <w:top w:val="nil"/>
              <w:left w:val="nil"/>
              <w:bottom w:val="nil"/>
              <w:right w:val="nil"/>
            </w:tcBorders>
          </w:tcPr>
          <w:p w14:paraId="169B54B9"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56,592,267</w:t>
            </w:r>
            <w:proofErr w:type="gramEnd"/>
          </w:p>
        </w:tc>
        <w:tc>
          <w:tcPr>
            <w:tcW w:w="753" w:type="dxa"/>
            <w:tcBorders>
              <w:top w:val="nil"/>
              <w:left w:val="nil"/>
              <w:bottom w:val="nil"/>
              <w:right w:val="nil"/>
            </w:tcBorders>
          </w:tcPr>
          <w:p w14:paraId="600DF09B"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1,943</w:t>
            </w:r>
          </w:p>
        </w:tc>
        <w:tc>
          <w:tcPr>
            <w:tcW w:w="778" w:type="dxa"/>
            <w:tcBorders>
              <w:top w:val="nil"/>
              <w:left w:val="nil"/>
              <w:bottom w:val="nil"/>
              <w:right w:val="nil"/>
            </w:tcBorders>
          </w:tcPr>
          <w:p w14:paraId="11D45B61"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(3.4)</w:t>
            </w:r>
          </w:p>
        </w:tc>
        <w:tc>
          <w:tcPr>
            <w:tcW w:w="1421" w:type="dxa"/>
            <w:tcBorders>
              <w:top w:val="nil"/>
              <w:left w:val="nil"/>
              <w:bottom w:val="nil"/>
              <w:right w:val="nil"/>
            </w:tcBorders>
          </w:tcPr>
          <w:p w14:paraId="1AC24F63"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40,625,623</w:t>
            </w:r>
            <w:proofErr w:type="gramEnd"/>
          </w:p>
        </w:tc>
        <w:tc>
          <w:tcPr>
            <w:tcW w:w="704" w:type="dxa"/>
            <w:tcBorders>
              <w:top w:val="nil"/>
              <w:left w:val="nil"/>
              <w:bottom w:val="nil"/>
              <w:right w:val="nil"/>
            </w:tcBorders>
          </w:tcPr>
          <w:p w14:paraId="2B6C56D1"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4,144</w:t>
            </w:r>
          </w:p>
        </w:tc>
        <w:tc>
          <w:tcPr>
            <w:tcW w:w="838" w:type="dxa"/>
            <w:tcBorders>
              <w:top w:val="nil"/>
              <w:left w:val="nil"/>
              <w:bottom w:val="nil"/>
              <w:right w:val="nil"/>
            </w:tcBorders>
          </w:tcPr>
          <w:p w14:paraId="764B5F32" w14:textId="77777777" w:rsidR="00B552DA" w:rsidRPr="006916FC" w:rsidRDefault="00B552DA" w:rsidP="008A7E29">
            <w:pPr>
              <w:spacing w:before="82"/>
              <w:ind w:left="30" w:right="-20"/>
              <w:jc w:val="both"/>
              <w:rPr>
                <w:rFonts w:ascii="Didot" w:eastAsia="Arial" w:hAnsi="Didot" w:cs="Didot"/>
                <w:sz w:val="20"/>
              </w:rPr>
            </w:pPr>
            <w:r w:rsidRPr="006916FC">
              <w:rPr>
                <w:rFonts w:ascii="Didot" w:eastAsia="Arial" w:hAnsi="Didot" w:cs="Didot"/>
                <w:sz w:val="20"/>
              </w:rPr>
              <w:t>(10.2)</w:t>
            </w:r>
          </w:p>
        </w:tc>
        <w:tc>
          <w:tcPr>
            <w:tcW w:w="1421" w:type="dxa"/>
            <w:tcBorders>
              <w:top w:val="nil"/>
              <w:left w:val="nil"/>
              <w:bottom w:val="nil"/>
              <w:right w:val="nil"/>
            </w:tcBorders>
          </w:tcPr>
          <w:p w14:paraId="4490081C"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43,697,536</w:t>
            </w:r>
            <w:proofErr w:type="gramEnd"/>
          </w:p>
        </w:tc>
        <w:tc>
          <w:tcPr>
            <w:tcW w:w="752" w:type="dxa"/>
            <w:tcBorders>
              <w:top w:val="nil"/>
              <w:left w:val="nil"/>
              <w:bottom w:val="nil"/>
              <w:right w:val="nil"/>
            </w:tcBorders>
          </w:tcPr>
          <w:p w14:paraId="6493F941"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985</w:t>
            </w:r>
          </w:p>
        </w:tc>
        <w:tc>
          <w:tcPr>
            <w:tcW w:w="647" w:type="dxa"/>
            <w:tcBorders>
              <w:top w:val="nil"/>
              <w:left w:val="nil"/>
              <w:bottom w:val="nil"/>
              <w:right w:val="nil"/>
            </w:tcBorders>
          </w:tcPr>
          <w:p w14:paraId="1BCE1FB6"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(2.3)</w:t>
            </w:r>
          </w:p>
        </w:tc>
      </w:tr>
      <w:tr w:rsidR="00B552DA" w:rsidRPr="006916FC" w14:paraId="6AD0C948" w14:textId="77777777" w:rsidTr="00B552DA">
        <w:trPr>
          <w:trHeight w:hRule="exact" w:val="448"/>
        </w:trPr>
        <w:tc>
          <w:tcPr>
            <w:tcW w:w="807" w:type="dxa"/>
            <w:tcBorders>
              <w:top w:val="nil"/>
              <w:left w:val="nil"/>
              <w:bottom w:val="nil"/>
              <w:right w:val="nil"/>
            </w:tcBorders>
          </w:tcPr>
          <w:p w14:paraId="0D0A45DB"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2010</w:t>
            </w:r>
          </w:p>
        </w:tc>
        <w:tc>
          <w:tcPr>
            <w:tcW w:w="1375" w:type="dxa"/>
            <w:tcBorders>
              <w:top w:val="nil"/>
              <w:left w:val="nil"/>
              <w:bottom w:val="nil"/>
              <w:right w:val="nil"/>
            </w:tcBorders>
          </w:tcPr>
          <w:p w14:paraId="5E269DFA"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54,855,231</w:t>
            </w:r>
            <w:proofErr w:type="gramEnd"/>
          </w:p>
        </w:tc>
        <w:tc>
          <w:tcPr>
            <w:tcW w:w="1605" w:type="dxa"/>
            <w:tcBorders>
              <w:top w:val="nil"/>
              <w:left w:val="nil"/>
              <w:bottom w:val="nil"/>
              <w:right w:val="nil"/>
            </w:tcBorders>
          </w:tcPr>
          <w:p w14:paraId="0A875B3D" w14:textId="77777777" w:rsidR="00B552DA" w:rsidRPr="006916FC" w:rsidRDefault="00B552DA" w:rsidP="008A7E29">
            <w:pPr>
              <w:spacing w:before="82"/>
              <w:ind w:left="131" w:right="-20"/>
              <w:jc w:val="both"/>
              <w:rPr>
                <w:rFonts w:ascii="Didot" w:eastAsia="Arial" w:hAnsi="Didot" w:cs="Didot"/>
                <w:sz w:val="20"/>
              </w:rPr>
            </w:pPr>
            <w:r w:rsidRPr="006916FC">
              <w:rPr>
                <w:rFonts w:ascii="Didot" w:eastAsia="Arial" w:hAnsi="Didot" w:cs="Didot"/>
                <w:w w:val="90"/>
                <w:sz w:val="20"/>
              </w:rPr>
              <w:t>23,452</w:t>
            </w:r>
            <w:r w:rsidRPr="006916FC">
              <w:rPr>
                <w:rFonts w:ascii="Didot" w:eastAsia="Arial" w:hAnsi="Didot" w:cs="Didot"/>
                <w:spacing w:val="6"/>
                <w:w w:val="90"/>
                <w:sz w:val="20"/>
              </w:rPr>
              <w:t xml:space="preserve"> </w:t>
            </w:r>
            <w:r w:rsidRPr="006916FC">
              <w:rPr>
                <w:rFonts w:ascii="Didot" w:eastAsia="Arial" w:hAnsi="Didot" w:cs="Didot"/>
                <w:sz w:val="20"/>
              </w:rPr>
              <w:t>(42.8)</w:t>
            </w:r>
          </w:p>
        </w:tc>
        <w:tc>
          <w:tcPr>
            <w:tcW w:w="1421" w:type="dxa"/>
            <w:tcBorders>
              <w:top w:val="nil"/>
              <w:left w:val="nil"/>
              <w:bottom w:val="nil"/>
              <w:right w:val="nil"/>
            </w:tcBorders>
          </w:tcPr>
          <w:p w14:paraId="05C3D75B"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57,481,307</w:t>
            </w:r>
            <w:proofErr w:type="gramEnd"/>
          </w:p>
        </w:tc>
        <w:tc>
          <w:tcPr>
            <w:tcW w:w="753" w:type="dxa"/>
            <w:tcBorders>
              <w:top w:val="nil"/>
              <w:left w:val="nil"/>
              <w:bottom w:val="nil"/>
              <w:right w:val="nil"/>
            </w:tcBorders>
          </w:tcPr>
          <w:p w14:paraId="45296745"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2,429</w:t>
            </w:r>
          </w:p>
        </w:tc>
        <w:tc>
          <w:tcPr>
            <w:tcW w:w="778" w:type="dxa"/>
            <w:tcBorders>
              <w:top w:val="nil"/>
              <w:left w:val="nil"/>
              <w:bottom w:val="nil"/>
              <w:right w:val="nil"/>
            </w:tcBorders>
          </w:tcPr>
          <w:p w14:paraId="606B9828"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(4.2)</w:t>
            </w:r>
          </w:p>
        </w:tc>
        <w:tc>
          <w:tcPr>
            <w:tcW w:w="1421" w:type="dxa"/>
            <w:tcBorders>
              <w:top w:val="nil"/>
              <w:left w:val="nil"/>
              <w:bottom w:val="nil"/>
              <w:right w:val="nil"/>
            </w:tcBorders>
          </w:tcPr>
          <w:p w14:paraId="1AB92B6C"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41,485,637</w:t>
            </w:r>
            <w:proofErr w:type="gramEnd"/>
          </w:p>
        </w:tc>
        <w:tc>
          <w:tcPr>
            <w:tcW w:w="704" w:type="dxa"/>
            <w:tcBorders>
              <w:top w:val="nil"/>
              <w:left w:val="nil"/>
              <w:bottom w:val="nil"/>
              <w:right w:val="nil"/>
            </w:tcBorders>
          </w:tcPr>
          <w:p w14:paraId="4CC38F7F"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4,065</w:t>
            </w:r>
          </w:p>
        </w:tc>
        <w:tc>
          <w:tcPr>
            <w:tcW w:w="838" w:type="dxa"/>
            <w:tcBorders>
              <w:top w:val="nil"/>
              <w:left w:val="nil"/>
              <w:bottom w:val="nil"/>
              <w:right w:val="nil"/>
            </w:tcBorders>
          </w:tcPr>
          <w:p w14:paraId="0564DCFF" w14:textId="77777777" w:rsidR="00B552DA" w:rsidRPr="006916FC" w:rsidRDefault="00B552DA" w:rsidP="008A7E29">
            <w:pPr>
              <w:spacing w:before="82"/>
              <w:ind w:left="140" w:right="-20"/>
              <w:jc w:val="both"/>
              <w:rPr>
                <w:rFonts w:ascii="Didot" w:eastAsia="Arial" w:hAnsi="Didot" w:cs="Didot"/>
                <w:sz w:val="20"/>
              </w:rPr>
            </w:pPr>
            <w:r w:rsidRPr="006916FC">
              <w:rPr>
                <w:rFonts w:ascii="Didot" w:eastAsia="Arial" w:hAnsi="Didot" w:cs="Didot"/>
                <w:sz w:val="20"/>
              </w:rPr>
              <w:t>(9.8)</w:t>
            </w:r>
          </w:p>
        </w:tc>
        <w:tc>
          <w:tcPr>
            <w:tcW w:w="1421" w:type="dxa"/>
            <w:tcBorders>
              <w:top w:val="nil"/>
              <w:left w:val="nil"/>
              <w:bottom w:val="nil"/>
              <w:right w:val="nil"/>
            </w:tcBorders>
          </w:tcPr>
          <w:p w14:paraId="097EDEA8"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44,527,664</w:t>
            </w:r>
            <w:proofErr w:type="gramEnd"/>
          </w:p>
        </w:tc>
        <w:tc>
          <w:tcPr>
            <w:tcW w:w="752" w:type="dxa"/>
            <w:tcBorders>
              <w:top w:val="nil"/>
              <w:left w:val="nil"/>
              <w:bottom w:val="nil"/>
              <w:right w:val="nil"/>
            </w:tcBorders>
          </w:tcPr>
          <w:p w14:paraId="63309976" w14:textId="77777777" w:rsidR="00B552DA" w:rsidRPr="006916FC" w:rsidRDefault="00B552DA" w:rsidP="008A7E29">
            <w:pPr>
              <w:spacing w:before="82"/>
              <w:ind w:left="346" w:right="-20"/>
              <w:jc w:val="both"/>
              <w:rPr>
                <w:rFonts w:ascii="Didot" w:eastAsia="Arial" w:hAnsi="Didot" w:cs="Didot"/>
                <w:sz w:val="20"/>
              </w:rPr>
            </w:pPr>
            <w:r w:rsidRPr="006916FC">
              <w:rPr>
                <w:rFonts w:ascii="Didot" w:eastAsia="Arial" w:hAnsi="Didot" w:cs="Didot"/>
                <w:sz w:val="20"/>
              </w:rPr>
              <w:t>913</w:t>
            </w:r>
          </w:p>
        </w:tc>
        <w:tc>
          <w:tcPr>
            <w:tcW w:w="647" w:type="dxa"/>
            <w:tcBorders>
              <w:top w:val="nil"/>
              <w:left w:val="nil"/>
              <w:bottom w:val="nil"/>
              <w:right w:val="nil"/>
            </w:tcBorders>
          </w:tcPr>
          <w:p w14:paraId="5A7C3A2D"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(2.1)</w:t>
            </w:r>
          </w:p>
        </w:tc>
      </w:tr>
      <w:tr w:rsidR="00B552DA" w:rsidRPr="006916FC" w14:paraId="13BB597E" w14:textId="77777777" w:rsidTr="00B552DA">
        <w:trPr>
          <w:trHeight w:hRule="exact" w:val="448"/>
        </w:trPr>
        <w:tc>
          <w:tcPr>
            <w:tcW w:w="807" w:type="dxa"/>
            <w:tcBorders>
              <w:top w:val="nil"/>
              <w:left w:val="nil"/>
              <w:bottom w:val="nil"/>
              <w:right w:val="nil"/>
            </w:tcBorders>
          </w:tcPr>
          <w:p w14:paraId="66C6AF70"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lastRenderedPageBreak/>
              <w:t>2011</w:t>
            </w:r>
          </w:p>
        </w:tc>
        <w:tc>
          <w:tcPr>
            <w:tcW w:w="1375" w:type="dxa"/>
            <w:tcBorders>
              <w:top w:val="nil"/>
              <w:left w:val="nil"/>
              <w:bottom w:val="nil"/>
              <w:right w:val="nil"/>
            </w:tcBorders>
          </w:tcPr>
          <w:p w14:paraId="6F454542"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55,313,437</w:t>
            </w:r>
            <w:proofErr w:type="gramEnd"/>
          </w:p>
        </w:tc>
        <w:tc>
          <w:tcPr>
            <w:tcW w:w="1605" w:type="dxa"/>
            <w:tcBorders>
              <w:top w:val="nil"/>
              <w:left w:val="nil"/>
              <w:bottom w:val="nil"/>
              <w:right w:val="nil"/>
            </w:tcBorders>
          </w:tcPr>
          <w:p w14:paraId="4F7EF28E" w14:textId="77777777" w:rsidR="00B552DA" w:rsidRPr="006916FC" w:rsidRDefault="00B552DA" w:rsidP="008A7E29">
            <w:pPr>
              <w:spacing w:before="82"/>
              <w:ind w:left="131" w:right="-20"/>
              <w:jc w:val="both"/>
              <w:rPr>
                <w:rFonts w:ascii="Didot" w:eastAsia="Arial" w:hAnsi="Didot" w:cs="Didot"/>
                <w:sz w:val="20"/>
              </w:rPr>
            </w:pPr>
            <w:r w:rsidRPr="006916FC">
              <w:rPr>
                <w:rFonts w:ascii="Didot" w:eastAsia="Arial" w:hAnsi="Didot" w:cs="Didot"/>
                <w:w w:val="90"/>
                <w:sz w:val="20"/>
              </w:rPr>
              <w:t>24,432</w:t>
            </w:r>
            <w:r w:rsidRPr="006916FC">
              <w:rPr>
                <w:rFonts w:ascii="Didot" w:eastAsia="Arial" w:hAnsi="Didot" w:cs="Didot"/>
                <w:spacing w:val="6"/>
                <w:w w:val="90"/>
                <w:sz w:val="20"/>
              </w:rPr>
              <w:t xml:space="preserve"> </w:t>
            </w:r>
            <w:r w:rsidRPr="006916FC">
              <w:rPr>
                <w:rFonts w:ascii="Didot" w:eastAsia="Arial" w:hAnsi="Didot" w:cs="Didot"/>
                <w:sz w:val="20"/>
              </w:rPr>
              <w:t>(44.2)</w:t>
            </w:r>
          </w:p>
        </w:tc>
        <w:tc>
          <w:tcPr>
            <w:tcW w:w="1421" w:type="dxa"/>
            <w:tcBorders>
              <w:top w:val="nil"/>
              <w:left w:val="nil"/>
              <w:bottom w:val="nil"/>
              <w:right w:val="nil"/>
            </w:tcBorders>
          </w:tcPr>
          <w:p w14:paraId="542C1BE9"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57,925,827</w:t>
            </w:r>
            <w:proofErr w:type="gramEnd"/>
          </w:p>
        </w:tc>
        <w:tc>
          <w:tcPr>
            <w:tcW w:w="753" w:type="dxa"/>
            <w:tcBorders>
              <w:top w:val="nil"/>
              <w:left w:val="nil"/>
              <w:bottom w:val="nil"/>
              <w:right w:val="nil"/>
            </w:tcBorders>
          </w:tcPr>
          <w:p w14:paraId="3B3789D2"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2,732</w:t>
            </w:r>
          </w:p>
        </w:tc>
        <w:tc>
          <w:tcPr>
            <w:tcW w:w="778" w:type="dxa"/>
            <w:tcBorders>
              <w:top w:val="nil"/>
              <w:left w:val="nil"/>
              <w:bottom w:val="nil"/>
              <w:right w:val="nil"/>
            </w:tcBorders>
          </w:tcPr>
          <w:p w14:paraId="5CAEFE66"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(4.7)</w:t>
            </w:r>
          </w:p>
        </w:tc>
        <w:tc>
          <w:tcPr>
            <w:tcW w:w="1421" w:type="dxa"/>
            <w:tcBorders>
              <w:top w:val="nil"/>
              <w:left w:val="nil"/>
              <w:bottom w:val="nil"/>
              <w:right w:val="nil"/>
            </w:tcBorders>
          </w:tcPr>
          <w:p w14:paraId="40628957"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41,915,645</w:t>
            </w:r>
            <w:proofErr w:type="gramEnd"/>
          </w:p>
        </w:tc>
        <w:tc>
          <w:tcPr>
            <w:tcW w:w="704" w:type="dxa"/>
            <w:tcBorders>
              <w:top w:val="nil"/>
              <w:left w:val="nil"/>
              <w:bottom w:val="nil"/>
              <w:right w:val="nil"/>
            </w:tcBorders>
          </w:tcPr>
          <w:p w14:paraId="1F3B92DE"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4,583</w:t>
            </w:r>
          </w:p>
        </w:tc>
        <w:tc>
          <w:tcPr>
            <w:tcW w:w="838" w:type="dxa"/>
            <w:tcBorders>
              <w:top w:val="nil"/>
              <w:left w:val="nil"/>
              <w:bottom w:val="nil"/>
              <w:right w:val="nil"/>
            </w:tcBorders>
          </w:tcPr>
          <w:p w14:paraId="4B7E1455" w14:textId="77777777" w:rsidR="00B552DA" w:rsidRPr="006916FC" w:rsidRDefault="00B552DA" w:rsidP="008A7E29">
            <w:pPr>
              <w:spacing w:before="82"/>
              <w:ind w:left="30" w:right="-20"/>
              <w:jc w:val="both"/>
              <w:rPr>
                <w:rFonts w:ascii="Didot" w:eastAsia="Arial" w:hAnsi="Didot" w:cs="Didot"/>
                <w:sz w:val="20"/>
              </w:rPr>
            </w:pPr>
            <w:r w:rsidRPr="006916FC">
              <w:rPr>
                <w:rFonts w:ascii="Didot" w:eastAsia="Arial" w:hAnsi="Didot" w:cs="Didot"/>
                <w:sz w:val="20"/>
              </w:rPr>
              <w:t>(10.9)</w:t>
            </w:r>
          </w:p>
        </w:tc>
        <w:tc>
          <w:tcPr>
            <w:tcW w:w="1421" w:type="dxa"/>
            <w:tcBorders>
              <w:top w:val="nil"/>
              <w:left w:val="nil"/>
              <w:bottom w:val="nil"/>
              <w:right w:val="nil"/>
            </w:tcBorders>
          </w:tcPr>
          <w:p w14:paraId="3EDED7DF"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44,942,728</w:t>
            </w:r>
            <w:proofErr w:type="gramEnd"/>
          </w:p>
        </w:tc>
        <w:tc>
          <w:tcPr>
            <w:tcW w:w="752" w:type="dxa"/>
            <w:tcBorders>
              <w:top w:val="nil"/>
              <w:left w:val="nil"/>
              <w:bottom w:val="nil"/>
              <w:right w:val="nil"/>
            </w:tcBorders>
          </w:tcPr>
          <w:p w14:paraId="060C5B6F"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1,080</w:t>
            </w:r>
          </w:p>
        </w:tc>
        <w:tc>
          <w:tcPr>
            <w:tcW w:w="647" w:type="dxa"/>
            <w:tcBorders>
              <w:top w:val="nil"/>
              <w:left w:val="nil"/>
              <w:bottom w:val="nil"/>
              <w:right w:val="nil"/>
            </w:tcBorders>
          </w:tcPr>
          <w:p w14:paraId="231C6780"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(2.4)</w:t>
            </w:r>
          </w:p>
        </w:tc>
      </w:tr>
      <w:tr w:rsidR="00B552DA" w:rsidRPr="006916FC" w14:paraId="5F390F5C" w14:textId="77777777" w:rsidTr="00B552DA">
        <w:trPr>
          <w:trHeight w:hRule="exact" w:val="431"/>
        </w:trPr>
        <w:tc>
          <w:tcPr>
            <w:tcW w:w="807" w:type="dxa"/>
            <w:tcBorders>
              <w:top w:val="nil"/>
              <w:left w:val="nil"/>
              <w:bottom w:val="single" w:sz="3" w:space="0" w:color="000000"/>
              <w:right w:val="nil"/>
            </w:tcBorders>
          </w:tcPr>
          <w:p w14:paraId="1564EEE6" w14:textId="77777777" w:rsidR="00B552DA" w:rsidRPr="006916FC" w:rsidRDefault="00B552DA" w:rsidP="008A7E29">
            <w:pPr>
              <w:spacing w:before="82"/>
              <w:ind w:left="120" w:right="-20"/>
              <w:jc w:val="both"/>
              <w:rPr>
                <w:rFonts w:ascii="Didot" w:eastAsia="Arial" w:hAnsi="Didot" w:cs="Didot"/>
                <w:sz w:val="20"/>
              </w:rPr>
            </w:pPr>
            <w:r w:rsidRPr="006916FC">
              <w:rPr>
                <w:rFonts w:ascii="Didot" w:eastAsia="Arial" w:hAnsi="Didot" w:cs="Didot"/>
                <w:sz w:val="20"/>
              </w:rPr>
              <w:t>2012</w:t>
            </w:r>
          </w:p>
        </w:tc>
        <w:tc>
          <w:tcPr>
            <w:tcW w:w="1375" w:type="dxa"/>
            <w:tcBorders>
              <w:top w:val="nil"/>
              <w:left w:val="nil"/>
              <w:bottom w:val="single" w:sz="3" w:space="0" w:color="000000"/>
              <w:right w:val="nil"/>
            </w:tcBorders>
          </w:tcPr>
          <w:p w14:paraId="5C2DA2E7"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55,771,643</w:t>
            </w:r>
            <w:proofErr w:type="gramEnd"/>
          </w:p>
        </w:tc>
        <w:tc>
          <w:tcPr>
            <w:tcW w:w="1605" w:type="dxa"/>
            <w:tcBorders>
              <w:top w:val="nil"/>
              <w:left w:val="nil"/>
              <w:bottom w:val="single" w:sz="3" w:space="0" w:color="000000"/>
              <w:right w:val="nil"/>
            </w:tcBorders>
          </w:tcPr>
          <w:p w14:paraId="5DCF5E58" w14:textId="77777777" w:rsidR="00B552DA" w:rsidRPr="006916FC" w:rsidRDefault="00B552DA" w:rsidP="008A7E29">
            <w:pPr>
              <w:spacing w:before="82"/>
              <w:ind w:left="131" w:right="-20"/>
              <w:jc w:val="both"/>
              <w:rPr>
                <w:rFonts w:ascii="Didot" w:eastAsia="Arial" w:hAnsi="Didot" w:cs="Didot"/>
                <w:sz w:val="20"/>
              </w:rPr>
            </w:pPr>
            <w:r w:rsidRPr="006916FC">
              <w:rPr>
                <w:rFonts w:ascii="Didot" w:eastAsia="Arial" w:hAnsi="Didot" w:cs="Didot"/>
                <w:w w:val="90"/>
                <w:sz w:val="20"/>
              </w:rPr>
              <w:t>22,118</w:t>
            </w:r>
            <w:r w:rsidRPr="006916FC">
              <w:rPr>
                <w:rFonts w:ascii="Didot" w:eastAsia="Arial" w:hAnsi="Didot" w:cs="Didot"/>
                <w:spacing w:val="6"/>
                <w:w w:val="90"/>
                <w:sz w:val="20"/>
              </w:rPr>
              <w:t xml:space="preserve"> </w:t>
            </w:r>
            <w:r w:rsidRPr="006916FC">
              <w:rPr>
                <w:rFonts w:ascii="Didot" w:eastAsia="Arial" w:hAnsi="Didot" w:cs="Didot"/>
                <w:sz w:val="20"/>
              </w:rPr>
              <w:t>(39.7)</w:t>
            </w:r>
          </w:p>
        </w:tc>
        <w:tc>
          <w:tcPr>
            <w:tcW w:w="1421" w:type="dxa"/>
            <w:tcBorders>
              <w:top w:val="nil"/>
              <w:left w:val="nil"/>
              <w:bottom w:val="single" w:sz="3" w:space="0" w:color="000000"/>
              <w:right w:val="nil"/>
            </w:tcBorders>
          </w:tcPr>
          <w:p w14:paraId="77633B6B"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58,370,347</w:t>
            </w:r>
            <w:proofErr w:type="gramEnd"/>
          </w:p>
        </w:tc>
        <w:tc>
          <w:tcPr>
            <w:tcW w:w="753" w:type="dxa"/>
            <w:tcBorders>
              <w:top w:val="nil"/>
              <w:left w:val="nil"/>
              <w:bottom w:val="single" w:sz="3" w:space="0" w:color="000000"/>
              <w:right w:val="nil"/>
            </w:tcBorders>
          </w:tcPr>
          <w:p w14:paraId="34EB75D4"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2,656</w:t>
            </w:r>
          </w:p>
        </w:tc>
        <w:tc>
          <w:tcPr>
            <w:tcW w:w="778" w:type="dxa"/>
            <w:tcBorders>
              <w:top w:val="nil"/>
              <w:left w:val="nil"/>
              <w:bottom w:val="single" w:sz="3" w:space="0" w:color="000000"/>
              <w:right w:val="nil"/>
            </w:tcBorders>
          </w:tcPr>
          <w:p w14:paraId="48140687"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(4.6)</w:t>
            </w:r>
          </w:p>
        </w:tc>
        <w:tc>
          <w:tcPr>
            <w:tcW w:w="1421" w:type="dxa"/>
            <w:tcBorders>
              <w:top w:val="nil"/>
              <w:left w:val="nil"/>
              <w:bottom w:val="single" w:sz="3" w:space="0" w:color="000000"/>
              <w:right w:val="nil"/>
            </w:tcBorders>
          </w:tcPr>
          <w:p w14:paraId="434B51F1"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42,345,652</w:t>
            </w:r>
            <w:proofErr w:type="gramEnd"/>
          </w:p>
        </w:tc>
        <w:tc>
          <w:tcPr>
            <w:tcW w:w="704" w:type="dxa"/>
            <w:tcBorders>
              <w:top w:val="nil"/>
              <w:left w:val="nil"/>
              <w:bottom w:val="single" w:sz="3" w:space="0" w:color="000000"/>
              <w:right w:val="nil"/>
            </w:tcBorders>
          </w:tcPr>
          <w:p w14:paraId="3B936FC8" w14:textId="77777777" w:rsidR="00B552DA" w:rsidRPr="006916FC" w:rsidRDefault="00B552DA" w:rsidP="008A7E29">
            <w:pPr>
              <w:spacing w:before="82"/>
              <w:ind w:left="176" w:right="-42"/>
              <w:jc w:val="both"/>
              <w:rPr>
                <w:rFonts w:ascii="Didot" w:eastAsia="Arial" w:hAnsi="Didot" w:cs="Didot"/>
                <w:sz w:val="20"/>
              </w:rPr>
            </w:pPr>
            <w:r w:rsidRPr="006916FC">
              <w:rPr>
                <w:rFonts w:ascii="Didot" w:eastAsia="Arial" w:hAnsi="Didot" w:cs="Didot"/>
                <w:w w:val="90"/>
                <w:sz w:val="20"/>
              </w:rPr>
              <w:t>4,332</w:t>
            </w:r>
          </w:p>
        </w:tc>
        <w:tc>
          <w:tcPr>
            <w:tcW w:w="838" w:type="dxa"/>
            <w:tcBorders>
              <w:top w:val="nil"/>
              <w:left w:val="nil"/>
              <w:bottom w:val="single" w:sz="3" w:space="0" w:color="000000"/>
              <w:right w:val="nil"/>
            </w:tcBorders>
          </w:tcPr>
          <w:p w14:paraId="22340E58" w14:textId="77777777" w:rsidR="00B552DA" w:rsidRPr="006916FC" w:rsidRDefault="00B552DA" w:rsidP="008A7E29">
            <w:pPr>
              <w:spacing w:before="82"/>
              <w:ind w:left="30" w:right="-20"/>
              <w:jc w:val="both"/>
              <w:rPr>
                <w:rFonts w:ascii="Didot" w:eastAsia="Arial" w:hAnsi="Didot" w:cs="Didot"/>
                <w:sz w:val="20"/>
              </w:rPr>
            </w:pPr>
            <w:r w:rsidRPr="006916FC">
              <w:rPr>
                <w:rFonts w:ascii="Didot" w:eastAsia="Arial" w:hAnsi="Didot" w:cs="Didot"/>
                <w:sz w:val="20"/>
              </w:rPr>
              <w:t>(10.2)</w:t>
            </w:r>
          </w:p>
        </w:tc>
        <w:tc>
          <w:tcPr>
            <w:tcW w:w="1421" w:type="dxa"/>
            <w:tcBorders>
              <w:top w:val="nil"/>
              <w:left w:val="nil"/>
              <w:bottom w:val="single" w:sz="3" w:space="0" w:color="000000"/>
              <w:right w:val="nil"/>
            </w:tcBorders>
          </w:tcPr>
          <w:p w14:paraId="421712C5" w14:textId="77777777" w:rsidR="00B552DA" w:rsidRPr="006916FC" w:rsidRDefault="00B552DA" w:rsidP="008A7E29">
            <w:pPr>
              <w:spacing w:before="82"/>
              <w:ind w:left="251" w:right="-20"/>
              <w:jc w:val="both"/>
              <w:rPr>
                <w:rFonts w:ascii="Didot" w:eastAsia="Arial" w:hAnsi="Didot" w:cs="Didot"/>
                <w:sz w:val="20"/>
              </w:rPr>
            </w:pPr>
            <w:proofErr w:type="gramStart"/>
            <w:r w:rsidRPr="006916FC">
              <w:rPr>
                <w:rFonts w:ascii="Didot" w:eastAsia="Arial" w:hAnsi="Didot" w:cs="Didot"/>
                <w:sz w:val="20"/>
              </w:rPr>
              <w:t>45,357,792</w:t>
            </w:r>
            <w:proofErr w:type="gramEnd"/>
          </w:p>
        </w:tc>
        <w:tc>
          <w:tcPr>
            <w:tcW w:w="752" w:type="dxa"/>
            <w:tcBorders>
              <w:top w:val="nil"/>
              <w:left w:val="nil"/>
              <w:bottom w:val="single" w:sz="3" w:space="0" w:color="000000"/>
              <w:right w:val="nil"/>
            </w:tcBorders>
          </w:tcPr>
          <w:p w14:paraId="0A37F061" w14:textId="77777777" w:rsidR="00B552DA" w:rsidRPr="006916FC" w:rsidRDefault="00B552DA" w:rsidP="008A7E29">
            <w:pPr>
              <w:spacing w:before="82"/>
              <w:ind w:left="177" w:right="-20"/>
              <w:jc w:val="both"/>
              <w:rPr>
                <w:rFonts w:ascii="Didot" w:eastAsia="Arial" w:hAnsi="Didot" w:cs="Didot"/>
                <w:sz w:val="20"/>
              </w:rPr>
            </w:pPr>
            <w:r w:rsidRPr="006916FC">
              <w:rPr>
                <w:rFonts w:ascii="Didot" w:eastAsia="Arial" w:hAnsi="Didot" w:cs="Didot"/>
                <w:sz w:val="20"/>
              </w:rPr>
              <w:t>1,043</w:t>
            </w:r>
          </w:p>
        </w:tc>
        <w:tc>
          <w:tcPr>
            <w:tcW w:w="647" w:type="dxa"/>
            <w:tcBorders>
              <w:top w:val="nil"/>
              <w:left w:val="nil"/>
              <w:bottom w:val="single" w:sz="3" w:space="0" w:color="000000"/>
              <w:right w:val="nil"/>
            </w:tcBorders>
          </w:tcPr>
          <w:p w14:paraId="1F0D606E" w14:textId="77777777" w:rsidR="00B552DA" w:rsidRPr="006916FC" w:rsidRDefault="00B552DA" w:rsidP="008A7E29">
            <w:pPr>
              <w:spacing w:before="82"/>
              <w:ind w:left="79" w:right="-20"/>
              <w:jc w:val="both"/>
              <w:rPr>
                <w:rFonts w:ascii="Didot" w:eastAsia="Arial" w:hAnsi="Didot" w:cs="Didot"/>
                <w:sz w:val="20"/>
              </w:rPr>
            </w:pPr>
            <w:r w:rsidRPr="006916FC">
              <w:rPr>
                <w:rFonts w:ascii="Didot" w:eastAsia="Arial" w:hAnsi="Didot" w:cs="Didot"/>
                <w:sz w:val="20"/>
              </w:rPr>
              <w:t>(2.3)</w:t>
            </w:r>
          </w:p>
        </w:tc>
      </w:tr>
    </w:tbl>
    <w:p w14:paraId="2B0F2D7E" w14:textId="77777777" w:rsidR="00B552DA" w:rsidRPr="006916FC" w:rsidRDefault="00B552DA" w:rsidP="008A7E29">
      <w:pPr>
        <w:spacing w:before="8"/>
        <w:jc w:val="both"/>
        <w:rPr>
          <w:rFonts w:ascii="Didot" w:hAnsi="Didot" w:cs="Didot"/>
          <w:sz w:val="9"/>
          <w:szCs w:val="11"/>
        </w:rPr>
      </w:pPr>
    </w:p>
    <w:p w14:paraId="0050F1ED" w14:textId="77777777" w:rsidR="00160E26" w:rsidRPr="006916FC" w:rsidRDefault="00B552DA" w:rsidP="008A7E29">
      <w:pPr>
        <w:ind w:left="105" w:right="301"/>
        <w:jc w:val="both"/>
        <w:rPr>
          <w:rFonts w:ascii="Didot" w:eastAsia="Arial" w:hAnsi="Didot" w:cs="Didot"/>
          <w:sz w:val="18"/>
          <w:szCs w:val="20"/>
        </w:rPr>
        <w:sectPr w:rsidR="00160E26" w:rsidRPr="006916FC" w:rsidSect="003D6AB9">
          <w:pgSz w:w="16840" w:h="11900" w:orient="landscape"/>
          <w:pgMar w:top="1800" w:right="1440" w:bottom="1800" w:left="1440" w:header="708" w:footer="708" w:gutter="0"/>
          <w:pgNumType w:start="1"/>
          <w:cols w:space="708"/>
          <w:docGrid w:linePitch="360"/>
        </w:sectPr>
      </w:pPr>
      <w:r w:rsidRPr="006916FC">
        <w:rPr>
          <w:rFonts w:ascii="Didot" w:eastAsia="Arial" w:hAnsi="Didot" w:cs="Didot"/>
          <w:i/>
          <w:sz w:val="18"/>
          <w:szCs w:val="20"/>
        </w:rPr>
        <w:t>Note.</w:t>
      </w:r>
      <w:r w:rsidRPr="006916FC">
        <w:rPr>
          <w:rFonts w:ascii="Didot" w:eastAsia="Arial" w:hAnsi="Didot" w:cs="Didot"/>
          <w:i/>
          <w:spacing w:val="24"/>
          <w:sz w:val="18"/>
          <w:szCs w:val="20"/>
        </w:rPr>
        <w:t xml:space="preserve"> </w:t>
      </w:r>
      <w:r w:rsidRPr="006916FC">
        <w:rPr>
          <w:rFonts w:ascii="Didot" w:eastAsia="Arial" w:hAnsi="Didot" w:cs="Didot"/>
          <w:sz w:val="18"/>
          <w:szCs w:val="20"/>
        </w:rPr>
        <w:t>Infa</w:t>
      </w:r>
      <w:r w:rsidRPr="006916FC">
        <w:rPr>
          <w:rFonts w:ascii="Didot" w:eastAsia="Arial" w:hAnsi="Didot" w:cs="Didot"/>
          <w:spacing w:val="-5"/>
          <w:sz w:val="18"/>
          <w:szCs w:val="20"/>
        </w:rPr>
        <w:t>n</w:t>
      </w:r>
      <w:r w:rsidRPr="006916FC">
        <w:rPr>
          <w:rFonts w:ascii="Didot" w:eastAsia="Arial" w:hAnsi="Didot" w:cs="Didot"/>
          <w:sz w:val="18"/>
          <w:szCs w:val="20"/>
        </w:rPr>
        <w:t>ts</w:t>
      </w:r>
      <w:r w:rsidRPr="006916FC">
        <w:rPr>
          <w:rFonts w:ascii="Didot" w:eastAsia="Arial" w:hAnsi="Didot" w:cs="Didot"/>
          <w:spacing w:val="15"/>
          <w:sz w:val="18"/>
          <w:szCs w:val="20"/>
        </w:rPr>
        <w:t xml:space="preserve"> </w:t>
      </w:r>
      <w:r w:rsidRPr="006916FC">
        <w:rPr>
          <w:rFonts w:ascii="Didot" w:eastAsia="Arial" w:hAnsi="Didot" w:cs="Didot"/>
          <w:sz w:val="18"/>
          <w:szCs w:val="20"/>
        </w:rPr>
        <w:t>up</w:t>
      </w:r>
      <w:r w:rsidRPr="006916FC">
        <w:rPr>
          <w:rFonts w:ascii="Didot" w:eastAsia="Arial" w:hAnsi="Didot" w:cs="Didot"/>
          <w:spacing w:val="9"/>
          <w:sz w:val="18"/>
          <w:szCs w:val="20"/>
        </w:rPr>
        <w:t xml:space="preserve"> </w:t>
      </w:r>
      <w:r w:rsidRPr="006916FC">
        <w:rPr>
          <w:rFonts w:ascii="Didot" w:eastAsia="Arial" w:hAnsi="Didot" w:cs="Didot"/>
          <w:sz w:val="18"/>
          <w:szCs w:val="20"/>
        </w:rPr>
        <w:t>to</w:t>
      </w:r>
      <w:r w:rsidRPr="006916FC">
        <w:rPr>
          <w:rFonts w:ascii="Didot" w:eastAsia="Arial" w:hAnsi="Didot" w:cs="Didot"/>
          <w:spacing w:val="21"/>
          <w:sz w:val="18"/>
          <w:szCs w:val="20"/>
        </w:rPr>
        <w:t xml:space="preserve"> </w:t>
      </w:r>
      <w:r w:rsidRPr="006916FC">
        <w:rPr>
          <w:rFonts w:ascii="Didot" w:eastAsia="Arial" w:hAnsi="Didot" w:cs="Didot"/>
          <w:sz w:val="18"/>
          <w:szCs w:val="20"/>
        </w:rPr>
        <w:t>11</w:t>
      </w:r>
      <w:r w:rsidRPr="006916FC">
        <w:rPr>
          <w:rFonts w:ascii="Didot" w:eastAsia="Arial" w:hAnsi="Didot" w:cs="Didot"/>
          <w:spacing w:val="-13"/>
          <w:sz w:val="18"/>
          <w:szCs w:val="20"/>
        </w:rPr>
        <w:t xml:space="preserve"> </w:t>
      </w:r>
      <w:r w:rsidRPr="006916FC">
        <w:rPr>
          <w:rFonts w:ascii="Didot" w:eastAsia="Arial" w:hAnsi="Didot" w:cs="Didot"/>
          <w:spacing w:val="-5"/>
          <w:w w:val="91"/>
          <w:sz w:val="18"/>
          <w:szCs w:val="20"/>
        </w:rPr>
        <w:t>y</w:t>
      </w:r>
      <w:r w:rsidRPr="006916FC">
        <w:rPr>
          <w:rFonts w:ascii="Didot" w:eastAsia="Arial" w:hAnsi="Didot" w:cs="Didot"/>
          <w:w w:val="91"/>
          <w:sz w:val="18"/>
          <w:szCs w:val="20"/>
        </w:rPr>
        <w:t>ears</w:t>
      </w:r>
      <w:r w:rsidRPr="006916FC">
        <w:rPr>
          <w:rFonts w:ascii="Didot" w:eastAsia="Arial" w:hAnsi="Didot" w:cs="Didot"/>
          <w:spacing w:val="19"/>
          <w:w w:val="91"/>
          <w:sz w:val="18"/>
          <w:szCs w:val="20"/>
        </w:rPr>
        <w:t xml:space="preserve"> </w:t>
      </w:r>
      <w:r w:rsidRPr="006916FC">
        <w:rPr>
          <w:rFonts w:ascii="Didot" w:eastAsia="Arial" w:hAnsi="Didot" w:cs="Didot"/>
          <w:sz w:val="18"/>
          <w:szCs w:val="20"/>
        </w:rPr>
        <w:t>are</w:t>
      </w:r>
      <w:r w:rsidRPr="006916FC">
        <w:rPr>
          <w:rFonts w:ascii="Didot" w:eastAsia="Arial" w:hAnsi="Didot" w:cs="Didot"/>
          <w:spacing w:val="-12"/>
          <w:sz w:val="18"/>
          <w:szCs w:val="20"/>
        </w:rPr>
        <w:t xml:space="preserve"> </w:t>
      </w:r>
      <w:r w:rsidRPr="006916FC">
        <w:rPr>
          <w:rFonts w:ascii="Didot" w:eastAsia="Arial" w:hAnsi="Didot" w:cs="Didot"/>
          <w:w w:val="94"/>
          <w:sz w:val="18"/>
          <w:szCs w:val="20"/>
        </w:rPr>
        <w:t>excluded</w:t>
      </w:r>
      <w:r w:rsidRPr="006916FC">
        <w:rPr>
          <w:rFonts w:ascii="Didot" w:eastAsia="Arial" w:hAnsi="Didot" w:cs="Didot"/>
          <w:spacing w:val="15"/>
          <w:w w:val="94"/>
          <w:sz w:val="18"/>
          <w:szCs w:val="20"/>
        </w:rPr>
        <w:t xml:space="preserve"> </w:t>
      </w:r>
      <w:r w:rsidRPr="006916FC">
        <w:rPr>
          <w:rFonts w:ascii="Didot" w:eastAsia="Arial" w:hAnsi="Didot" w:cs="Didot"/>
          <w:sz w:val="18"/>
          <w:szCs w:val="20"/>
        </w:rPr>
        <w:t>from</w:t>
      </w:r>
      <w:r w:rsidRPr="006916FC">
        <w:rPr>
          <w:rFonts w:ascii="Didot" w:eastAsia="Arial" w:hAnsi="Didot" w:cs="Didot"/>
          <w:spacing w:val="15"/>
          <w:sz w:val="18"/>
          <w:szCs w:val="20"/>
        </w:rPr>
        <w:t xml:space="preserve"> </w:t>
      </w:r>
      <w:r w:rsidRPr="006916FC">
        <w:rPr>
          <w:rFonts w:ascii="Didot" w:eastAsia="Arial" w:hAnsi="Didot" w:cs="Didot"/>
          <w:sz w:val="18"/>
          <w:szCs w:val="20"/>
        </w:rPr>
        <w:t>the</w:t>
      </w:r>
      <w:r w:rsidRPr="006916FC">
        <w:rPr>
          <w:rFonts w:ascii="Didot" w:eastAsia="Arial" w:hAnsi="Didot" w:cs="Didot"/>
          <w:spacing w:val="8"/>
          <w:sz w:val="18"/>
          <w:szCs w:val="20"/>
        </w:rPr>
        <w:t xml:space="preserve"> </w:t>
      </w:r>
      <w:r w:rsidRPr="006916FC">
        <w:rPr>
          <w:rFonts w:ascii="Didot" w:eastAsia="Arial" w:hAnsi="Didot" w:cs="Didot"/>
          <w:w w:val="94"/>
          <w:sz w:val="18"/>
          <w:szCs w:val="20"/>
        </w:rPr>
        <w:t>suicide</w:t>
      </w:r>
      <w:r w:rsidRPr="006916FC">
        <w:rPr>
          <w:rFonts w:ascii="Didot" w:eastAsia="Arial" w:hAnsi="Didot" w:cs="Didot"/>
          <w:spacing w:val="15"/>
          <w:w w:val="94"/>
          <w:sz w:val="18"/>
          <w:szCs w:val="20"/>
        </w:rPr>
        <w:t xml:space="preserve"> </w:t>
      </w:r>
      <w:r w:rsidRPr="006916FC">
        <w:rPr>
          <w:rFonts w:ascii="Didot" w:eastAsia="Arial" w:hAnsi="Didot" w:cs="Didot"/>
          <w:sz w:val="18"/>
          <w:szCs w:val="20"/>
        </w:rPr>
        <w:t>data,</w:t>
      </w:r>
      <w:r w:rsidRPr="006916FC">
        <w:rPr>
          <w:rFonts w:ascii="Didot" w:eastAsia="Arial" w:hAnsi="Didot" w:cs="Didot"/>
          <w:spacing w:val="7"/>
          <w:sz w:val="18"/>
          <w:szCs w:val="20"/>
        </w:rPr>
        <w:t xml:space="preserve"> </w:t>
      </w:r>
      <w:r w:rsidRPr="006916FC">
        <w:rPr>
          <w:rFonts w:ascii="Didot" w:eastAsia="Arial" w:hAnsi="Didot" w:cs="Didot"/>
          <w:sz w:val="18"/>
          <w:szCs w:val="20"/>
        </w:rPr>
        <w:t>whi</w:t>
      </w:r>
      <w:r w:rsidRPr="006916FC">
        <w:rPr>
          <w:rFonts w:ascii="Didot" w:eastAsia="Arial" w:hAnsi="Didot" w:cs="Didot"/>
          <w:spacing w:val="-5"/>
          <w:sz w:val="18"/>
          <w:szCs w:val="20"/>
        </w:rPr>
        <w:t>c</w:t>
      </w:r>
      <w:r w:rsidRPr="006916FC">
        <w:rPr>
          <w:rFonts w:ascii="Didot" w:eastAsia="Arial" w:hAnsi="Didot" w:cs="Didot"/>
          <w:sz w:val="18"/>
          <w:szCs w:val="20"/>
        </w:rPr>
        <w:t>h</w:t>
      </w:r>
      <w:r w:rsidRPr="006916FC">
        <w:rPr>
          <w:rFonts w:ascii="Didot" w:eastAsia="Arial" w:hAnsi="Didot" w:cs="Didot"/>
          <w:spacing w:val="6"/>
          <w:sz w:val="18"/>
          <w:szCs w:val="20"/>
        </w:rPr>
        <w:t xml:space="preserve"> </w:t>
      </w:r>
      <w:r w:rsidRPr="006916FC">
        <w:rPr>
          <w:rFonts w:ascii="Didot" w:eastAsia="Arial" w:hAnsi="Didot" w:cs="Didot"/>
          <w:w w:val="95"/>
          <w:sz w:val="18"/>
          <w:szCs w:val="20"/>
        </w:rPr>
        <w:t>explains</w:t>
      </w:r>
      <w:r w:rsidRPr="006916FC">
        <w:rPr>
          <w:rFonts w:ascii="Didot" w:eastAsia="Arial" w:hAnsi="Didot" w:cs="Didot"/>
          <w:spacing w:val="15"/>
          <w:w w:val="95"/>
          <w:sz w:val="18"/>
          <w:szCs w:val="20"/>
        </w:rPr>
        <w:t xml:space="preserve"> </w:t>
      </w:r>
      <w:r w:rsidRPr="006916FC">
        <w:rPr>
          <w:rFonts w:ascii="Didot" w:eastAsia="Arial" w:hAnsi="Didot" w:cs="Didot"/>
          <w:sz w:val="18"/>
          <w:szCs w:val="20"/>
        </w:rPr>
        <w:t>the</w:t>
      </w:r>
      <w:r w:rsidRPr="006916FC">
        <w:rPr>
          <w:rFonts w:ascii="Didot" w:eastAsia="Arial" w:hAnsi="Didot" w:cs="Didot"/>
          <w:spacing w:val="8"/>
          <w:sz w:val="18"/>
          <w:szCs w:val="20"/>
        </w:rPr>
        <w:t xml:space="preserve"> </w:t>
      </w:r>
      <w:r w:rsidRPr="006916FC">
        <w:rPr>
          <w:rFonts w:ascii="Didot" w:eastAsia="Arial" w:hAnsi="Didot" w:cs="Didot"/>
          <w:w w:val="99"/>
          <w:sz w:val="18"/>
          <w:szCs w:val="20"/>
        </w:rPr>
        <w:t>d</w:t>
      </w:r>
      <w:r w:rsidRPr="006916FC">
        <w:rPr>
          <w:rFonts w:ascii="Didot" w:eastAsia="Arial" w:hAnsi="Didot" w:cs="Didot"/>
          <w:w w:val="96"/>
          <w:sz w:val="18"/>
          <w:szCs w:val="20"/>
        </w:rPr>
        <w:t>iffere</w:t>
      </w:r>
      <w:r w:rsidRPr="006916FC">
        <w:rPr>
          <w:rFonts w:ascii="Didot" w:eastAsia="Arial" w:hAnsi="Didot" w:cs="Didot"/>
          <w:spacing w:val="-5"/>
          <w:w w:val="96"/>
          <w:sz w:val="18"/>
          <w:szCs w:val="20"/>
        </w:rPr>
        <w:t>n</w:t>
      </w:r>
      <w:r w:rsidRPr="006916FC">
        <w:rPr>
          <w:rFonts w:ascii="Didot" w:eastAsia="Arial" w:hAnsi="Didot" w:cs="Didot"/>
          <w:w w:val="139"/>
          <w:sz w:val="18"/>
          <w:szCs w:val="20"/>
        </w:rPr>
        <w:t>t</w:t>
      </w:r>
      <w:r w:rsidRPr="006916FC">
        <w:rPr>
          <w:rFonts w:ascii="Didot" w:eastAsia="Arial" w:hAnsi="Didot" w:cs="Didot"/>
          <w:spacing w:val="11"/>
          <w:sz w:val="18"/>
          <w:szCs w:val="20"/>
        </w:rPr>
        <w:t xml:space="preserve"> </w:t>
      </w:r>
      <w:r w:rsidRPr="006916FC">
        <w:rPr>
          <w:rFonts w:ascii="Didot" w:eastAsia="Arial" w:hAnsi="Didot" w:cs="Didot"/>
          <w:spacing w:val="6"/>
          <w:sz w:val="18"/>
          <w:szCs w:val="20"/>
        </w:rPr>
        <w:t>p</w:t>
      </w:r>
      <w:r w:rsidRPr="006916FC">
        <w:rPr>
          <w:rFonts w:ascii="Didot" w:eastAsia="Arial" w:hAnsi="Didot" w:cs="Didot"/>
          <w:sz w:val="18"/>
          <w:szCs w:val="20"/>
        </w:rPr>
        <w:t>opulation</w:t>
      </w:r>
      <w:r w:rsidRPr="006916FC">
        <w:rPr>
          <w:rFonts w:ascii="Didot" w:eastAsia="Arial" w:hAnsi="Didot" w:cs="Didot"/>
          <w:spacing w:val="17"/>
          <w:sz w:val="18"/>
          <w:szCs w:val="20"/>
        </w:rPr>
        <w:t xml:space="preserve"> </w:t>
      </w:r>
      <w:r w:rsidRPr="006916FC">
        <w:rPr>
          <w:rFonts w:ascii="Didot" w:eastAsia="Arial" w:hAnsi="Didot" w:cs="Didot"/>
          <w:w w:val="85"/>
          <w:sz w:val="18"/>
          <w:szCs w:val="20"/>
        </w:rPr>
        <w:t>sizes</w:t>
      </w:r>
      <w:r w:rsidRPr="006916FC">
        <w:rPr>
          <w:rFonts w:ascii="Didot" w:eastAsia="Arial" w:hAnsi="Didot" w:cs="Didot"/>
          <w:spacing w:val="19"/>
          <w:w w:val="85"/>
          <w:sz w:val="18"/>
          <w:szCs w:val="20"/>
        </w:rPr>
        <w:t xml:space="preserve"> </w:t>
      </w:r>
      <w:r w:rsidRPr="006916FC">
        <w:rPr>
          <w:rFonts w:ascii="Didot" w:eastAsia="Arial" w:hAnsi="Didot" w:cs="Didot"/>
          <w:sz w:val="18"/>
          <w:szCs w:val="20"/>
        </w:rPr>
        <w:t>for</w:t>
      </w:r>
      <w:r w:rsidRPr="006916FC">
        <w:rPr>
          <w:rFonts w:ascii="Didot" w:eastAsia="Arial" w:hAnsi="Didot" w:cs="Didot"/>
          <w:spacing w:val="16"/>
          <w:sz w:val="18"/>
          <w:szCs w:val="20"/>
        </w:rPr>
        <w:t xml:space="preserve"> </w:t>
      </w:r>
      <w:r w:rsidRPr="006916FC">
        <w:rPr>
          <w:rFonts w:ascii="Didot" w:eastAsia="Arial" w:hAnsi="Didot" w:cs="Didot"/>
          <w:w w:val="94"/>
          <w:sz w:val="18"/>
          <w:szCs w:val="20"/>
        </w:rPr>
        <w:t>homicides</w:t>
      </w:r>
      <w:r w:rsidRPr="006916FC">
        <w:rPr>
          <w:rFonts w:ascii="Didot" w:eastAsia="Arial" w:hAnsi="Didot" w:cs="Didot"/>
          <w:spacing w:val="15"/>
          <w:w w:val="94"/>
          <w:sz w:val="18"/>
          <w:szCs w:val="20"/>
        </w:rPr>
        <w:t xml:space="preserve"> </w:t>
      </w:r>
      <w:r w:rsidRPr="006916FC">
        <w:rPr>
          <w:rFonts w:ascii="Didot" w:eastAsia="Arial" w:hAnsi="Didot" w:cs="Didot"/>
          <w:sz w:val="18"/>
          <w:szCs w:val="20"/>
        </w:rPr>
        <w:t>and</w:t>
      </w:r>
      <w:r w:rsidRPr="006916FC">
        <w:rPr>
          <w:rFonts w:ascii="Didot" w:eastAsia="Arial" w:hAnsi="Didot" w:cs="Didot"/>
          <w:spacing w:val="-2"/>
          <w:sz w:val="18"/>
          <w:szCs w:val="20"/>
        </w:rPr>
        <w:t xml:space="preserve"> </w:t>
      </w:r>
      <w:r w:rsidR="00464410" w:rsidRPr="006916FC">
        <w:rPr>
          <w:rFonts w:ascii="Didot" w:eastAsia="Arial" w:hAnsi="Didot" w:cs="Didot"/>
          <w:sz w:val="18"/>
          <w:szCs w:val="20"/>
        </w:rPr>
        <w:t>suicides.</w:t>
      </w:r>
    </w:p>
    <w:p w14:paraId="3C5DB896" w14:textId="77777777" w:rsidR="00464410" w:rsidRPr="006916FC" w:rsidRDefault="00464410" w:rsidP="008A7E29">
      <w:pPr>
        <w:widowControl w:val="0"/>
        <w:pBdr>
          <w:bottom w:val="single" w:sz="6" w:space="3" w:color="auto"/>
        </w:pBdr>
        <w:autoSpaceDE w:val="0"/>
        <w:autoSpaceDN w:val="0"/>
        <w:adjustRightInd w:val="0"/>
        <w:spacing w:after="240"/>
        <w:jc w:val="both"/>
        <w:rPr>
          <w:rFonts w:ascii="Didot" w:hAnsi="Didot" w:cs="Didot"/>
          <w:b/>
          <w:color w:val="121212"/>
          <w:sz w:val="28"/>
          <w:szCs w:val="28"/>
          <w:lang w:val="en-US"/>
        </w:rPr>
      </w:pPr>
    </w:p>
    <w:p w14:paraId="727F21C4" w14:textId="66992CC5" w:rsidR="00464410" w:rsidRPr="006916FC" w:rsidRDefault="00464410" w:rsidP="008A7E29">
      <w:pPr>
        <w:pStyle w:val="Heading2"/>
        <w:jc w:val="both"/>
        <w:rPr>
          <w:rFonts w:ascii="Didot" w:hAnsi="Didot" w:cs="Didot"/>
          <w:color w:val="auto"/>
          <w:sz w:val="34"/>
          <w:szCs w:val="34"/>
        </w:rPr>
      </w:pPr>
      <w:bookmarkStart w:id="27" w:name="_Toc272639896"/>
      <w:bookmarkStart w:id="28" w:name="_Toc272645019"/>
      <w:r w:rsidRPr="006916FC">
        <w:rPr>
          <w:rFonts w:ascii="Didot" w:hAnsi="Didot" w:cs="Didot"/>
          <w:color w:val="auto"/>
          <w:sz w:val="34"/>
          <w:szCs w:val="34"/>
        </w:rPr>
        <w:t>Abigail Fagan</w:t>
      </w:r>
      <w:bookmarkEnd w:id="27"/>
      <w:bookmarkEnd w:id="28"/>
      <w:r w:rsidRPr="006916FC">
        <w:rPr>
          <w:rFonts w:ascii="Didot" w:hAnsi="Didot" w:cs="Didot"/>
          <w:color w:val="auto"/>
          <w:sz w:val="34"/>
          <w:szCs w:val="34"/>
        </w:rPr>
        <w:t xml:space="preserve"> </w:t>
      </w:r>
    </w:p>
    <w:p w14:paraId="5EB1D083" w14:textId="77777777" w:rsidR="00C33C84" w:rsidRPr="006916FC" w:rsidRDefault="00C33C84" w:rsidP="008A7E29">
      <w:pPr>
        <w:widowControl w:val="0"/>
        <w:autoSpaceDE w:val="0"/>
        <w:autoSpaceDN w:val="0"/>
        <w:adjustRightInd w:val="0"/>
        <w:spacing w:after="240"/>
        <w:jc w:val="both"/>
        <w:rPr>
          <w:rFonts w:ascii="Didot" w:hAnsi="Didot" w:cs="Didot"/>
          <w:b/>
          <w:color w:val="121212"/>
          <w:lang w:val="en-US"/>
        </w:rPr>
      </w:pPr>
    </w:p>
    <w:p w14:paraId="123F4B2D" w14:textId="77777777" w:rsidR="00464410" w:rsidRPr="006916FC" w:rsidRDefault="00464410"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Biography</w:t>
      </w:r>
    </w:p>
    <w:p w14:paraId="2133B146" w14:textId="77777777" w:rsidR="00464410" w:rsidRPr="006916FC" w:rsidRDefault="00464410"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6916FC">
        <w:rPr>
          <w:rFonts w:ascii="Didot" w:hAnsi="Didot" w:cs="Didot"/>
          <w:color w:val="121212"/>
          <w:sz w:val="22"/>
          <w:szCs w:val="22"/>
          <w:lang w:val="en-US"/>
        </w:rPr>
        <w:t xml:space="preserve">Abigail A. Fagan is an Associate Professor at the University of Florida in the Department of Sociology, Criminology &amp; Law. Dr. Fagan's research focuses on the etiology and prevention of adolescent substance use, delinquency, and violence, with an emphasis on examining the ways in which scientific advances can be successfully translated into effective crime and delinquency prevention practices. Her etiological research has been funded by the National Institute of Justice and National Institute on Drug Abuse and focuses on the effects of family processes (e.g., parenting practices and sibling relationships), victimization experiences, and community influences on juvenile offending. Her prevention-related research includes work on the Blueprints for Healthy Youth Development initiative and the Community Youth Development Study, both of which seek to assist community agencies and practitioners in identifying effective crime prevention and health promotion interventions and implementing these strategies with fidelity. Dr. Fagan has published over 50 </w:t>
      </w:r>
      <w:proofErr w:type="gramStart"/>
      <w:r w:rsidRPr="006916FC">
        <w:rPr>
          <w:rFonts w:ascii="Didot" w:hAnsi="Didot" w:cs="Didot"/>
          <w:color w:val="121212"/>
          <w:sz w:val="22"/>
          <w:szCs w:val="22"/>
          <w:lang w:val="en-US"/>
        </w:rPr>
        <w:t>peer reviewed</w:t>
      </w:r>
      <w:proofErr w:type="gramEnd"/>
      <w:r w:rsidRPr="006916FC">
        <w:rPr>
          <w:rFonts w:ascii="Didot" w:hAnsi="Didot" w:cs="Didot"/>
          <w:color w:val="121212"/>
          <w:sz w:val="22"/>
          <w:szCs w:val="22"/>
          <w:lang w:val="en-US"/>
        </w:rPr>
        <w:t xml:space="preserve"> articles on these topics, presented to various community agencies, academic audiences, and policy makers, and served on the Board of Directors of the Society for Prevention Research (SPR). </w:t>
      </w:r>
    </w:p>
    <w:p w14:paraId="57249F8C" w14:textId="77777777" w:rsidR="00464410" w:rsidRPr="006916FC" w:rsidRDefault="00464410"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3309A4E3" w14:textId="77777777" w:rsidR="00464410" w:rsidRPr="006916FC" w:rsidRDefault="00464410"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Abstract</w:t>
      </w:r>
    </w:p>
    <w:p w14:paraId="140768F1" w14:textId="77777777" w:rsidR="00464410" w:rsidRPr="006916FC" w:rsidRDefault="00464410"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Overcoming Obstacles to High Quality Implementation of Evidence-based Principles in Violence Prevention</w:t>
      </w:r>
    </w:p>
    <w:p w14:paraId="7B519C2C" w14:textId="77777777" w:rsidR="00464410" w:rsidRPr="008B4D4B" w:rsidRDefault="00464410"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Achieving significant reductions in violence </w:t>
      </w:r>
      <w:proofErr w:type="gramStart"/>
      <w:r w:rsidRPr="008B4D4B">
        <w:rPr>
          <w:rFonts w:ascii="Didot" w:hAnsi="Didot" w:cs="Didot"/>
          <w:color w:val="121212"/>
          <w:sz w:val="22"/>
          <w:szCs w:val="22"/>
          <w:lang w:val="en-US"/>
        </w:rPr>
        <w:t>world-wide</w:t>
      </w:r>
      <w:proofErr w:type="gramEnd"/>
      <w:r w:rsidRPr="008B4D4B">
        <w:rPr>
          <w:rFonts w:ascii="Didot" w:hAnsi="Didot" w:cs="Didot"/>
          <w:color w:val="121212"/>
          <w:sz w:val="22"/>
          <w:szCs w:val="22"/>
          <w:lang w:val="en-US"/>
        </w:rPr>
        <w:t>, the goal of this conference, will be contingent upon the adoption, implementation, and dissemination of programs, policies, and practices shown in well-conducted studies to decrease violent behaviors. Although progress must still be made in the identification of such evidence-based interventions, this presentation will focus on enhancing the use of existing violence prevention strategies. Drawing from studies of implementation science, I will discuss the importance of all stages of the implementation process, from exploration through sustainability (Fixsen, Blase, Naoom, &amp; Wallace, 2009). To achieve local implementation success, communities must: 1) differentiate evidence-based strategies from non-evidence-based interventions and prioritize the use of the former, 2) engage in careful planning and needs assessments prior to adopting a new intervention, 3) commit to replicating the new strategy with integrity and enthusiasm, and 4) monitor the quality of implementation and engage in quality improvement as needed. Challenges in completing these steps and strategies for overcoming obstacles will be highlighted using examples from communities engaged in violence prevention and youth health promotion activities. The potential for taking these practices to scale nationally and internationally will also be discussed.  </w:t>
      </w:r>
    </w:p>
    <w:p w14:paraId="04E12DC9" w14:textId="77777777" w:rsidR="00160E26" w:rsidRPr="006916FC" w:rsidRDefault="00160E26" w:rsidP="008A7E29">
      <w:pPr>
        <w:pBdr>
          <w:top w:val="single" w:sz="6" w:space="1" w:color="auto"/>
          <w:bottom w:val="single" w:sz="6" w:space="1" w:color="auto"/>
        </w:pBdr>
        <w:ind w:right="301"/>
        <w:jc w:val="both"/>
        <w:rPr>
          <w:rFonts w:ascii="Didot" w:eastAsia="Arial" w:hAnsi="Didot" w:cs="Didot"/>
          <w:spacing w:val="1"/>
          <w:sz w:val="20"/>
          <w:szCs w:val="21"/>
        </w:rPr>
        <w:sectPr w:rsidR="00160E26" w:rsidRPr="006916FC" w:rsidSect="003D6AB9">
          <w:pgSz w:w="11900" w:h="16840"/>
          <w:pgMar w:top="1440" w:right="1800" w:bottom="1440" w:left="1800" w:header="708" w:footer="708" w:gutter="0"/>
          <w:pgNumType w:start="1"/>
          <w:cols w:space="708"/>
          <w:docGrid w:linePitch="360"/>
        </w:sectPr>
      </w:pPr>
    </w:p>
    <w:p w14:paraId="4DA63DC7" w14:textId="77777777" w:rsidR="00464410" w:rsidRPr="006916FC" w:rsidRDefault="00464410" w:rsidP="008A7E29">
      <w:pPr>
        <w:pBdr>
          <w:bottom w:val="single" w:sz="12" w:space="1" w:color="auto"/>
        </w:pBdr>
        <w:jc w:val="both"/>
        <w:rPr>
          <w:rFonts w:ascii="Didot" w:hAnsi="Didot" w:cs="Didot"/>
          <w:b/>
        </w:rPr>
      </w:pPr>
    </w:p>
    <w:p w14:paraId="2D886B94" w14:textId="72D51E94" w:rsidR="00160E26" w:rsidRPr="006916FC" w:rsidRDefault="00160E26" w:rsidP="008A7E29">
      <w:pPr>
        <w:jc w:val="both"/>
        <w:rPr>
          <w:rFonts w:ascii="Didot" w:hAnsi="Didot" w:cs="Didot"/>
          <w:b/>
          <w:color w:val="121212"/>
          <w:lang w:val="en-US"/>
        </w:rPr>
      </w:pPr>
      <w:r w:rsidRPr="006916FC">
        <w:rPr>
          <w:rFonts w:ascii="Didot" w:hAnsi="Didot" w:cs="Didot"/>
          <w:b/>
          <w:color w:val="121212"/>
          <w:lang w:val="en-US"/>
        </w:rPr>
        <w:softHyphen/>
      </w:r>
      <w:r w:rsidRPr="006916FC">
        <w:rPr>
          <w:rFonts w:ascii="Didot" w:hAnsi="Didot" w:cs="Didot"/>
          <w:b/>
          <w:color w:val="121212"/>
          <w:lang w:val="en-US"/>
        </w:rPr>
        <w:softHyphen/>
      </w:r>
      <w:r w:rsidRPr="006916FC">
        <w:rPr>
          <w:rFonts w:ascii="Didot" w:hAnsi="Didot" w:cs="Didot"/>
          <w:b/>
          <w:color w:val="121212"/>
          <w:lang w:val="en-US"/>
        </w:rPr>
        <w:softHyphen/>
      </w:r>
      <w:r w:rsidRPr="006916FC">
        <w:rPr>
          <w:rFonts w:ascii="Didot" w:hAnsi="Didot" w:cs="Didot"/>
          <w:b/>
          <w:color w:val="121212"/>
          <w:lang w:val="en-US"/>
        </w:rPr>
        <w:softHyphen/>
      </w:r>
      <w:r w:rsidRPr="006916FC">
        <w:rPr>
          <w:rFonts w:ascii="Didot" w:hAnsi="Didot" w:cs="Didot"/>
          <w:b/>
          <w:color w:val="121212"/>
          <w:lang w:val="en-US"/>
        </w:rPr>
        <w:softHyphen/>
      </w:r>
      <w:r w:rsidRPr="006916FC">
        <w:rPr>
          <w:rFonts w:ascii="Didot" w:hAnsi="Didot" w:cs="Didot"/>
          <w:b/>
          <w:color w:val="121212"/>
          <w:lang w:val="en-US"/>
        </w:rPr>
        <w:softHyphen/>
      </w:r>
      <w:r w:rsidRPr="006916FC">
        <w:rPr>
          <w:rFonts w:ascii="Didot" w:hAnsi="Didot" w:cs="Didot"/>
          <w:b/>
          <w:color w:val="121212"/>
          <w:lang w:val="en-US"/>
        </w:rPr>
        <w:softHyphen/>
      </w:r>
    </w:p>
    <w:p w14:paraId="43750B9C" w14:textId="6D37C4C4" w:rsidR="00EE46BD" w:rsidRPr="006916FC" w:rsidRDefault="00EE46BD" w:rsidP="008A7E29">
      <w:pPr>
        <w:jc w:val="both"/>
        <w:rPr>
          <w:rFonts w:ascii="Didot" w:hAnsi="Didot" w:cs="Didot"/>
          <w:b/>
          <w:color w:val="121212"/>
          <w:lang w:val="en-US"/>
        </w:rPr>
      </w:pPr>
      <w:r w:rsidRPr="006916FC">
        <w:rPr>
          <w:rFonts w:ascii="Didot" w:hAnsi="Didot" w:cs="Didot"/>
          <w:b/>
          <w:color w:val="121212"/>
          <w:lang w:val="en-US"/>
        </w:rPr>
        <w:t>Summary</w:t>
      </w:r>
    </w:p>
    <w:p w14:paraId="7C4B3B88" w14:textId="77777777" w:rsidR="00EE46BD" w:rsidRPr="006916FC" w:rsidRDefault="00EE46BD" w:rsidP="008A7E29">
      <w:pPr>
        <w:jc w:val="both"/>
        <w:rPr>
          <w:rFonts w:ascii="Didot" w:hAnsi="Didot" w:cs="Didot"/>
          <w:b/>
          <w:color w:val="121212"/>
          <w:lang w:val="en-US"/>
        </w:rPr>
      </w:pPr>
    </w:p>
    <w:p w14:paraId="7D9CD940" w14:textId="77777777" w:rsidR="00464410" w:rsidRPr="006916FC" w:rsidRDefault="00464410" w:rsidP="008A7E29">
      <w:pPr>
        <w:jc w:val="both"/>
        <w:rPr>
          <w:rFonts w:ascii="Didot" w:hAnsi="Didot" w:cs="Didot"/>
          <w:b/>
          <w:color w:val="121212"/>
          <w:lang w:val="en-US"/>
        </w:rPr>
      </w:pPr>
      <w:r w:rsidRPr="006916FC">
        <w:rPr>
          <w:rFonts w:ascii="Didot" w:hAnsi="Didot" w:cs="Didot"/>
          <w:b/>
          <w:color w:val="121212"/>
          <w:lang w:val="en-US"/>
        </w:rPr>
        <w:t>Overcoming Obstacles to High Quality Implementation</w:t>
      </w:r>
    </w:p>
    <w:p w14:paraId="054763EA" w14:textId="77777777" w:rsidR="00464410" w:rsidRPr="006916FC" w:rsidRDefault="00464410" w:rsidP="008A7E29">
      <w:pPr>
        <w:jc w:val="both"/>
        <w:rPr>
          <w:rFonts w:ascii="Didot" w:hAnsi="Didot" w:cs="Didot"/>
          <w:b/>
          <w:color w:val="121212"/>
          <w:lang w:val="en-US"/>
        </w:rPr>
      </w:pPr>
      <w:proofErr w:type="gramStart"/>
      <w:r w:rsidRPr="006916FC">
        <w:rPr>
          <w:rFonts w:ascii="Didot" w:hAnsi="Didot" w:cs="Didot"/>
          <w:b/>
          <w:color w:val="121212"/>
          <w:lang w:val="en-US"/>
        </w:rPr>
        <w:t>of</w:t>
      </w:r>
      <w:proofErr w:type="gramEnd"/>
      <w:r w:rsidRPr="006916FC">
        <w:rPr>
          <w:rFonts w:ascii="Didot" w:hAnsi="Didot" w:cs="Didot"/>
          <w:b/>
          <w:color w:val="121212"/>
          <w:lang w:val="en-US"/>
        </w:rPr>
        <w:t xml:space="preserve"> Evidence-based Principles in Violence Prevention</w:t>
      </w:r>
    </w:p>
    <w:p w14:paraId="492E1049" w14:textId="77777777" w:rsidR="00464410" w:rsidRPr="006916FC" w:rsidRDefault="00464410" w:rsidP="008A7E29">
      <w:pPr>
        <w:jc w:val="both"/>
        <w:rPr>
          <w:rFonts w:ascii="Didot" w:hAnsi="Didot" w:cs="Didot"/>
          <w:b/>
        </w:rPr>
      </w:pPr>
    </w:p>
    <w:p w14:paraId="0733ACA5" w14:textId="77777777" w:rsidR="00160E26" w:rsidRPr="006916FC" w:rsidRDefault="00160E26" w:rsidP="008A7E29">
      <w:pPr>
        <w:jc w:val="both"/>
        <w:rPr>
          <w:rFonts w:ascii="Didot" w:hAnsi="Didot" w:cs="Didot"/>
          <w:b/>
        </w:rPr>
        <w:sectPr w:rsidR="00160E26" w:rsidRPr="006916FC" w:rsidSect="003D6AB9">
          <w:pgSz w:w="11900" w:h="16840"/>
          <w:pgMar w:top="1440" w:right="1800" w:bottom="1440" w:left="1800" w:header="708" w:footer="708" w:gutter="0"/>
          <w:pgNumType w:start="1"/>
          <w:cols w:space="708"/>
          <w:docGrid w:linePitch="360"/>
        </w:sectPr>
      </w:pPr>
    </w:p>
    <w:p w14:paraId="6472ED89" w14:textId="77777777" w:rsidR="005605BF" w:rsidRPr="008B4D4B" w:rsidRDefault="00700BED" w:rsidP="008A7E29">
      <w:pPr>
        <w:jc w:val="both"/>
        <w:rPr>
          <w:rFonts w:ascii="Didot" w:hAnsi="Didot" w:cs="Didot"/>
          <w:b/>
          <w:sz w:val="22"/>
          <w:szCs w:val="22"/>
        </w:rPr>
      </w:pPr>
      <w:r w:rsidRPr="008B4D4B">
        <w:rPr>
          <w:rFonts w:ascii="Didot" w:hAnsi="Didot" w:cs="Didot"/>
          <w:b/>
          <w:sz w:val="22"/>
          <w:szCs w:val="22"/>
        </w:rPr>
        <w:lastRenderedPageBreak/>
        <w:t>I</w:t>
      </w:r>
      <w:r w:rsidR="005605BF" w:rsidRPr="008B4D4B">
        <w:rPr>
          <w:rFonts w:ascii="Didot" w:hAnsi="Didot" w:cs="Didot"/>
          <w:b/>
          <w:sz w:val="22"/>
          <w:szCs w:val="22"/>
        </w:rPr>
        <w:t>ntroduction</w:t>
      </w:r>
    </w:p>
    <w:p w14:paraId="280F986F" w14:textId="77777777" w:rsidR="005605BF" w:rsidRPr="008B4D4B" w:rsidRDefault="005605BF" w:rsidP="008A7E29">
      <w:pPr>
        <w:jc w:val="both"/>
        <w:rPr>
          <w:rFonts w:ascii="Didot" w:hAnsi="Didot" w:cs="Didot"/>
          <w:b/>
          <w:sz w:val="22"/>
          <w:szCs w:val="22"/>
        </w:rPr>
      </w:pPr>
    </w:p>
    <w:p w14:paraId="795790DE"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Achieving significant reductions in violence world-wide, the goal of this conference, is contingent upon the adoption, implementation, and dissemination of programs, practices, and policies shown in well-conducted studies to decrease violent behaviors. Although progress must still be made in the identification of evidence-based interventions (EBIs), this presentation focuses on enhancing the use of existing violence prevention strategies. In particular, I will discuss the importance of and strategies for implementing EBIs with high quality. Given that implementation is a </w:t>
      </w:r>
      <w:r w:rsidRPr="008B4D4B">
        <w:rPr>
          <w:rFonts w:ascii="Didot" w:hAnsi="Didot" w:cs="Didot"/>
          <w:i/>
          <w:sz w:val="22"/>
          <w:szCs w:val="22"/>
        </w:rPr>
        <w:t>process</w:t>
      </w:r>
      <w:r w:rsidRPr="008B4D4B">
        <w:rPr>
          <w:rFonts w:ascii="Didot" w:hAnsi="Didot" w:cs="Didot"/>
          <w:sz w:val="22"/>
          <w:szCs w:val="22"/>
        </w:rPr>
        <w:t xml:space="preserve"> </w:t>
      </w:r>
      <w:r w:rsidR="00AF1CEC" w:rsidRPr="008B4D4B">
        <w:rPr>
          <w:rFonts w:ascii="Didot" w:hAnsi="Didot" w:cs="Didot"/>
          <w:sz w:val="22"/>
          <w:szCs w:val="22"/>
        </w:rPr>
        <w:fldChar w:fldCharType="begin"/>
      </w:r>
      <w:r w:rsidRPr="008B4D4B">
        <w:rPr>
          <w:rFonts w:ascii="Didot" w:hAnsi="Didot" w:cs="Didot"/>
          <w:sz w:val="22"/>
          <w:szCs w:val="22"/>
        </w:rPr>
        <w:instrText xml:space="preserve"> ADDIN EN.CITE &lt;EndNote&gt;&lt;Cite&gt;&lt;Author&gt;Fixsen&lt;/Author&gt;&lt;Year&gt;2009&lt;/Year&gt;&lt;RecNum&gt;468&lt;/RecNum&gt;&lt;DisplayText&gt;(Fixsen, Blase, Naoom, &amp;amp; Wallace, 2009)&lt;/DisplayText&gt;&lt;record&gt;&lt;rec-number&gt;468&lt;/rec-number&gt;&lt;foreign-keys&gt;&lt;key app="EN" db-id="2wdxadvf450aplestv25dfrr0e0xtepp0z5s"&gt;468&lt;/key&gt;&lt;/foreign-keys&gt;&lt;ref-type name="Journal Article"&gt;17&lt;/ref-type&gt;&lt;contributors&gt;&lt;authors&gt;&lt;author&gt;Fixsen, Dean L.&lt;/author&gt;&lt;author&gt;Blase, Karen A.&lt;/author&gt;&lt;author&gt;Naoom, Sandra F.&lt;/author&gt;&lt;author&gt;Wallace, Frances&lt;/author&gt;&lt;/authors&gt;&lt;/contributors&gt;&lt;titles&gt;&lt;title&gt;Core implementation components&lt;/title&gt;&lt;secondary-title&gt;Research on Social Work Practice&lt;/secondary-title&gt;&lt;/titles&gt;&lt;periodical&gt;&lt;full-title&gt;Research on Social Work Practice&lt;/full-title&gt;&lt;/periodical&gt;&lt;pages&gt;531-540&lt;/pages&gt;&lt;volume&gt;19&lt;/volume&gt;&lt;keywords&gt;&lt;keyword&gt;fidelity&lt;/keyword&gt;&lt;keyword&gt;Training&lt;/keyword&gt;&lt;keyword&gt;TA&lt;/keyword&gt;&lt;/keywords&gt;&lt;dates&gt;&lt;year&gt;2009&lt;/year&gt;&lt;/dates&gt;&lt;urls&gt;&lt;/urls&gt;&lt;/record&gt;&lt;/Cite&gt;&lt;/EndNote&gt;</w:instrText>
      </w:r>
      <w:r w:rsidR="00AF1CEC" w:rsidRPr="008B4D4B">
        <w:rPr>
          <w:rFonts w:ascii="Didot" w:hAnsi="Didot" w:cs="Didot"/>
          <w:sz w:val="22"/>
          <w:szCs w:val="22"/>
        </w:rPr>
        <w:fldChar w:fldCharType="separate"/>
      </w:r>
      <w:r w:rsidRPr="008B4D4B">
        <w:rPr>
          <w:rFonts w:ascii="Didot" w:hAnsi="Didot" w:cs="Didot"/>
          <w:noProof/>
          <w:sz w:val="22"/>
          <w:szCs w:val="22"/>
        </w:rPr>
        <w:t>(</w:t>
      </w:r>
      <w:hyperlink w:anchor="_ENREF_2" w:tooltip="Fixsen, 2009 #468" w:history="1">
        <w:r w:rsidRPr="008B4D4B">
          <w:rPr>
            <w:rFonts w:ascii="Didot" w:hAnsi="Didot" w:cs="Didot"/>
            <w:noProof/>
            <w:sz w:val="22"/>
            <w:szCs w:val="22"/>
          </w:rPr>
          <w:t>Fixsen, Blase, Naoom, &amp; Wallace, 2009</w:t>
        </w:r>
      </w:hyperlink>
      <w:r w:rsidRPr="008B4D4B">
        <w:rPr>
          <w:rFonts w:ascii="Didot" w:hAnsi="Didot" w:cs="Didot"/>
          <w:noProof/>
          <w:sz w:val="22"/>
          <w:szCs w:val="22"/>
        </w:rPr>
        <w:t>)</w:t>
      </w:r>
      <w:r w:rsidR="00AF1CEC" w:rsidRPr="008B4D4B">
        <w:rPr>
          <w:rFonts w:ascii="Didot" w:hAnsi="Didot" w:cs="Didot"/>
          <w:sz w:val="22"/>
          <w:szCs w:val="22"/>
        </w:rPr>
        <w:fldChar w:fldCharType="end"/>
      </w:r>
      <w:r w:rsidRPr="008B4D4B">
        <w:rPr>
          <w:rFonts w:ascii="Didot" w:hAnsi="Didot" w:cs="Didot"/>
          <w:sz w:val="22"/>
          <w:szCs w:val="22"/>
        </w:rPr>
        <w:t xml:space="preserve">, this means that care and effort must be taken from start to finish, from exploring potential EBIs to be locally implemented all the way through to sustaining these EBIs and ensuring they reach a large enough population to make a significant impact on rates of violence. </w:t>
      </w:r>
    </w:p>
    <w:p w14:paraId="2F5D9DD8" w14:textId="77777777" w:rsidR="00160E26" w:rsidRPr="008B4D4B" w:rsidRDefault="00160E26" w:rsidP="008A7E29">
      <w:pPr>
        <w:jc w:val="both"/>
        <w:rPr>
          <w:rFonts w:ascii="Didot" w:hAnsi="Didot" w:cs="Didot"/>
          <w:sz w:val="22"/>
          <w:szCs w:val="22"/>
        </w:rPr>
        <w:sectPr w:rsidR="00160E26" w:rsidRPr="008B4D4B" w:rsidSect="00160E26">
          <w:type w:val="continuous"/>
          <w:pgSz w:w="11900" w:h="16840"/>
          <w:pgMar w:top="1440" w:right="1800" w:bottom="1440" w:left="1800" w:header="708" w:footer="708" w:gutter="0"/>
          <w:pgNumType w:start="1"/>
          <w:cols w:space="708"/>
          <w:docGrid w:linePitch="360"/>
        </w:sectPr>
      </w:pPr>
    </w:p>
    <w:p w14:paraId="357D316D" w14:textId="77777777" w:rsidR="00700BED" w:rsidRPr="008B4D4B" w:rsidRDefault="00700BED" w:rsidP="008A7E29">
      <w:pPr>
        <w:jc w:val="both"/>
        <w:rPr>
          <w:rFonts w:ascii="Didot" w:hAnsi="Didot" w:cs="Didot"/>
          <w:sz w:val="22"/>
          <w:szCs w:val="22"/>
        </w:rPr>
      </w:pPr>
    </w:p>
    <w:p w14:paraId="1EDDE0CA" w14:textId="77777777" w:rsidR="00700BED" w:rsidRPr="008B4D4B" w:rsidRDefault="00700BED" w:rsidP="008A7E29">
      <w:pPr>
        <w:jc w:val="both"/>
        <w:rPr>
          <w:rFonts w:ascii="Didot" w:hAnsi="Didot" w:cs="Didot"/>
          <w:sz w:val="22"/>
          <w:szCs w:val="22"/>
        </w:rPr>
      </w:pPr>
      <w:r w:rsidRPr="008B4D4B">
        <w:rPr>
          <w:rFonts w:ascii="Didot" w:hAnsi="Didot" w:cs="Didot"/>
          <w:b/>
          <w:sz w:val="22"/>
          <w:szCs w:val="22"/>
        </w:rPr>
        <w:t>What is implementation</w:t>
      </w:r>
      <w:r w:rsidRPr="008B4D4B">
        <w:rPr>
          <w:rFonts w:ascii="Didot" w:hAnsi="Didot" w:cs="Didot"/>
          <w:sz w:val="22"/>
          <w:szCs w:val="22"/>
        </w:rPr>
        <w:t xml:space="preserve">? </w:t>
      </w:r>
    </w:p>
    <w:p w14:paraId="41057615" w14:textId="77777777" w:rsidR="005605BF" w:rsidRPr="008B4D4B" w:rsidRDefault="005605BF" w:rsidP="008A7E29">
      <w:pPr>
        <w:jc w:val="both"/>
        <w:rPr>
          <w:rFonts w:ascii="Didot" w:hAnsi="Didot" w:cs="Didot"/>
          <w:sz w:val="22"/>
          <w:szCs w:val="22"/>
        </w:rPr>
      </w:pPr>
    </w:p>
    <w:p w14:paraId="098FCF29" w14:textId="77777777" w:rsidR="00700BED" w:rsidRPr="008B4D4B" w:rsidRDefault="00700BED" w:rsidP="008A7E29">
      <w:pPr>
        <w:autoSpaceDE w:val="0"/>
        <w:autoSpaceDN w:val="0"/>
        <w:adjustRightInd w:val="0"/>
        <w:jc w:val="both"/>
        <w:rPr>
          <w:rFonts w:ascii="Didot" w:hAnsi="Didot" w:cs="Didot"/>
          <w:sz w:val="22"/>
          <w:szCs w:val="22"/>
        </w:rPr>
      </w:pPr>
      <w:r w:rsidRPr="008B4D4B">
        <w:rPr>
          <w:rFonts w:ascii="Didot" w:hAnsi="Didot" w:cs="Didot"/>
          <w:sz w:val="22"/>
          <w:szCs w:val="22"/>
        </w:rPr>
        <w:t xml:space="preserve">For the purposes of this talk, implementation is the </w:t>
      </w:r>
      <w:r w:rsidRPr="008B4D4B">
        <w:rPr>
          <w:rFonts w:ascii="Didot" w:hAnsi="Didot" w:cs="Didot"/>
          <w:i/>
          <w:sz w:val="22"/>
          <w:szCs w:val="22"/>
        </w:rPr>
        <w:t>intervening step</w:t>
      </w:r>
      <w:r w:rsidRPr="008B4D4B">
        <w:rPr>
          <w:rFonts w:ascii="Didot" w:hAnsi="Didot" w:cs="Didot"/>
          <w:sz w:val="22"/>
          <w:szCs w:val="22"/>
        </w:rPr>
        <w:t xml:space="preserve"> between the scientific discovery of an intervention that reduces violence and the decreases in violent behaviors produced by such an intervention. A bottle of medicine does not do us any good if it sits in our kitchen cupboard or bathroom medicine cabinet: it has to be used and used properly to have its intended effects. Unlike medicine, which is usually very straight-forward to use, implementation of EBIs is more complicated. It is a process that unfolds relatively slowly, taking many months and possibly years to achieve. According to the National Implementation Research Network (NIRN), implementation proceeds in six stages: exploration, installation, initial implementation, full implementation, innovation, and sustainability </w:t>
      </w:r>
      <w:r w:rsidR="00AF1CEC" w:rsidRPr="008B4D4B">
        <w:rPr>
          <w:rFonts w:ascii="Didot" w:hAnsi="Didot" w:cs="Didot"/>
          <w:sz w:val="22"/>
          <w:szCs w:val="22"/>
        </w:rPr>
        <w:fldChar w:fldCharType="begin"/>
      </w:r>
      <w:r w:rsidRPr="008B4D4B">
        <w:rPr>
          <w:rFonts w:ascii="Didot" w:hAnsi="Didot" w:cs="Didot"/>
          <w:sz w:val="22"/>
          <w:szCs w:val="22"/>
        </w:rPr>
        <w:instrText xml:space="preserve"> ADDIN EN.CITE &lt;EndNote&gt;&lt;Cite&gt;&lt;Author&gt;Fixsen&lt;/Author&gt;&lt;Year&gt;2009&lt;/Year&gt;&lt;RecNum&gt;468&lt;/RecNum&gt;&lt;DisplayText&gt;(Fixsen et al., 2009)&lt;/DisplayText&gt;&lt;record&gt;&lt;rec-number&gt;468&lt;/rec-number&gt;&lt;foreign-keys&gt;&lt;key app="EN" db-id="2wdxadvf450aplestv25dfrr0e0xtepp0z5s"&gt;468&lt;/key&gt;&lt;/foreign-keys&gt;&lt;ref-type name="Journal Article"&gt;17&lt;/ref-type&gt;&lt;contributors&gt;&lt;authors&gt;&lt;author&gt;Fixsen, Dean L.&lt;/author&gt;&lt;author&gt;Blase, Karen A.&lt;/author&gt;&lt;author&gt;Naoom, Sandra F.&lt;/author&gt;&lt;author&gt;Wallace, Frances&lt;/author&gt;&lt;/authors&gt;&lt;/contributors&gt;&lt;titles&gt;&lt;title&gt;Core implementation components&lt;/title&gt;&lt;secondary-title&gt;Research on Social Work Practice&lt;/secondary-title&gt;&lt;/titles&gt;&lt;periodical&gt;&lt;full-title&gt;Research on Social Work Practice&lt;/full-title&gt;&lt;/periodical&gt;&lt;pages&gt;531-540&lt;/pages&gt;&lt;volume&gt;19&lt;/volume&gt;&lt;keywords&gt;&lt;keyword&gt;fidelity&lt;/keyword&gt;&lt;keyword&gt;Training&lt;/keyword&gt;&lt;keyword&gt;TA&lt;/keyword&gt;&lt;/keywords&gt;&lt;dates&gt;&lt;year&gt;2009&lt;/year&gt;&lt;/dates&gt;&lt;urls&gt;&lt;/urls&gt;&lt;/record&gt;&lt;/Cite&gt;&lt;/EndNote&gt;</w:instrText>
      </w:r>
      <w:r w:rsidR="00AF1CEC" w:rsidRPr="008B4D4B">
        <w:rPr>
          <w:rFonts w:ascii="Didot" w:hAnsi="Didot" w:cs="Didot"/>
          <w:sz w:val="22"/>
          <w:szCs w:val="22"/>
        </w:rPr>
        <w:fldChar w:fldCharType="separate"/>
      </w:r>
      <w:r w:rsidRPr="008B4D4B">
        <w:rPr>
          <w:rFonts w:ascii="Didot" w:hAnsi="Didot" w:cs="Didot"/>
          <w:noProof/>
          <w:sz w:val="22"/>
          <w:szCs w:val="22"/>
        </w:rPr>
        <w:t>(</w:t>
      </w:r>
      <w:hyperlink w:anchor="_ENREF_2" w:tooltip="Fixsen, 2009 #468" w:history="1">
        <w:r w:rsidRPr="008B4D4B">
          <w:rPr>
            <w:rFonts w:ascii="Didot" w:hAnsi="Didot" w:cs="Didot"/>
            <w:noProof/>
            <w:sz w:val="22"/>
            <w:szCs w:val="22"/>
          </w:rPr>
          <w:t>Fixsen et al., 2009</w:t>
        </w:r>
      </w:hyperlink>
      <w:r w:rsidRPr="008B4D4B">
        <w:rPr>
          <w:rFonts w:ascii="Didot" w:hAnsi="Didot" w:cs="Didot"/>
          <w:noProof/>
          <w:sz w:val="22"/>
          <w:szCs w:val="22"/>
        </w:rPr>
        <w:t>)</w:t>
      </w:r>
      <w:r w:rsidR="00AF1CEC" w:rsidRPr="008B4D4B">
        <w:rPr>
          <w:rFonts w:ascii="Didot" w:hAnsi="Didot" w:cs="Didot"/>
          <w:sz w:val="22"/>
          <w:szCs w:val="22"/>
        </w:rPr>
        <w:fldChar w:fldCharType="end"/>
      </w:r>
      <w:r w:rsidRPr="008B4D4B">
        <w:rPr>
          <w:rFonts w:ascii="Didot" w:hAnsi="Didot" w:cs="Didot"/>
          <w:sz w:val="22"/>
          <w:szCs w:val="22"/>
        </w:rPr>
        <w:t xml:space="preserve">. </w:t>
      </w:r>
    </w:p>
    <w:p w14:paraId="6D0B0EF7"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Each stage involves activities that must be completed and decisions that must be made, usually by a team of individuals. Failure to fully achieve the necessary steps of one stage is likely to affect the successful completion of the necessary activities associated with the next stage. </w:t>
      </w:r>
    </w:p>
    <w:p w14:paraId="5C4A06F9" w14:textId="77777777" w:rsidR="00700BED" w:rsidRPr="008B4D4B" w:rsidRDefault="00700BED" w:rsidP="008A7E29">
      <w:pPr>
        <w:autoSpaceDE w:val="0"/>
        <w:autoSpaceDN w:val="0"/>
        <w:adjustRightInd w:val="0"/>
        <w:jc w:val="both"/>
        <w:rPr>
          <w:rFonts w:ascii="Didot" w:hAnsi="Didot" w:cs="Didot"/>
          <w:sz w:val="22"/>
          <w:szCs w:val="22"/>
        </w:rPr>
      </w:pPr>
    </w:p>
    <w:p w14:paraId="1EFA785E" w14:textId="77777777" w:rsidR="00700BED" w:rsidRPr="008B4D4B" w:rsidRDefault="00700BED" w:rsidP="008A7E29">
      <w:pPr>
        <w:autoSpaceDE w:val="0"/>
        <w:autoSpaceDN w:val="0"/>
        <w:adjustRightInd w:val="0"/>
        <w:jc w:val="both"/>
        <w:rPr>
          <w:rFonts w:ascii="Didot" w:hAnsi="Didot" w:cs="Didot"/>
          <w:sz w:val="22"/>
          <w:szCs w:val="22"/>
        </w:rPr>
      </w:pPr>
      <w:r w:rsidRPr="008B4D4B">
        <w:rPr>
          <w:rFonts w:ascii="Didot" w:hAnsi="Didot" w:cs="Didot"/>
          <w:sz w:val="22"/>
          <w:szCs w:val="22"/>
        </w:rPr>
        <w:t xml:space="preserve">For example, the first stage of </w:t>
      </w:r>
      <w:r w:rsidRPr="008B4D4B">
        <w:rPr>
          <w:rFonts w:ascii="Didot" w:hAnsi="Didot" w:cs="Didot"/>
          <w:i/>
          <w:sz w:val="22"/>
          <w:szCs w:val="22"/>
        </w:rPr>
        <w:t>exploration</w:t>
      </w:r>
      <w:r w:rsidRPr="008B4D4B">
        <w:rPr>
          <w:rFonts w:ascii="Didot" w:hAnsi="Didot" w:cs="Didot"/>
          <w:sz w:val="22"/>
          <w:szCs w:val="22"/>
        </w:rPr>
        <w:t xml:space="preserve"> begins with learning about potential violence prevention interventions that might be put into practice in a local agency, school, community, state, or nation. We are fortunate to have a variety of effective violence prevention programs available for use, but just as there are many different medicines in a drug store, you must select the one that will successfully treat your particular need. You have to be a savvy consumer of violence prevention programs and think carefully about your options before you make an investment, just as you would a medicine, or a new car, house, or smart phone.  Multiple EBIs are available to reduce violence and you have to choose the one that is a good </w:t>
      </w:r>
      <w:r w:rsidRPr="008B4D4B">
        <w:rPr>
          <w:rFonts w:ascii="Didot" w:hAnsi="Didot" w:cs="Didot"/>
          <w:i/>
          <w:sz w:val="22"/>
          <w:szCs w:val="22"/>
        </w:rPr>
        <w:t xml:space="preserve">fit </w:t>
      </w:r>
      <w:r w:rsidRPr="008B4D4B">
        <w:rPr>
          <w:rFonts w:ascii="Didot" w:hAnsi="Didot" w:cs="Didot"/>
          <w:sz w:val="22"/>
          <w:szCs w:val="22"/>
        </w:rPr>
        <w:t xml:space="preserve">for your needs. </w:t>
      </w:r>
      <w:r w:rsidRPr="008B4D4B">
        <w:rPr>
          <w:rFonts w:ascii="Didot" w:hAnsi="Didot" w:cs="Didot"/>
          <w:sz w:val="22"/>
          <w:szCs w:val="22"/>
        </w:rPr>
        <w:lastRenderedPageBreak/>
        <w:t xml:space="preserve">To do so, you have to become familiar with your choices.  You want to investigate each program’s theoretical basis; core requirements, including staffing and organizational needs; targeted participant characteristics; costs; duration; and outcomes. You will need to compare your choices on all of these elements. You also have to know your capacity to meet the requirements of these programs: do you have the time, money, staffing, organizational framework, and leadership to make this program a success? If not, then you must select a different option. If you don’t carefully consider these issues in advance, your success in achieving high quality implementation and reducing violence will be undermined from the start. </w:t>
      </w:r>
    </w:p>
    <w:p w14:paraId="09E875EF" w14:textId="77777777" w:rsidR="00160E26" w:rsidRPr="008B4D4B" w:rsidRDefault="00160E26" w:rsidP="008A7E29">
      <w:pPr>
        <w:autoSpaceDE w:val="0"/>
        <w:autoSpaceDN w:val="0"/>
        <w:adjustRightInd w:val="0"/>
        <w:jc w:val="both"/>
        <w:rPr>
          <w:rFonts w:ascii="Didot" w:hAnsi="Didot" w:cs="Didot"/>
          <w:sz w:val="22"/>
          <w:szCs w:val="22"/>
        </w:rPr>
        <w:sectPr w:rsidR="00160E26" w:rsidRPr="008B4D4B" w:rsidSect="00160E26">
          <w:type w:val="continuous"/>
          <w:pgSz w:w="11900" w:h="16840"/>
          <w:pgMar w:top="1440" w:right="1800" w:bottom="1440" w:left="1800" w:header="708" w:footer="708" w:gutter="0"/>
          <w:pgNumType w:start="1"/>
          <w:cols w:space="708"/>
          <w:docGrid w:linePitch="360"/>
        </w:sectPr>
      </w:pPr>
    </w:p>
    <w:p w14:paraId="360105C0" w14:textId="77777777" w:rsidR="00700BED" w:rsidRPr="008B4D4B" w:rsidRDefault="00700BED" w:rsidP="008A7E29">
      <w:pPr>
        <w:autoSpaceDE w:val="0"/>
        <w:autoSpaceDN w:val="0"/>
        <w:adjustRightInd w:val="0"/>
        <w:jc w:val="both"/>
        <w:rPr>
          <w:rFonts w:ascii="Didot" w:hAnsi="Didot" w:cs="Didot"/>
          <w:sz w:val="22"/>
          <w:szCs w:val="22"/>
        </w:rPr>
      </w:pPr>
    </w:p>
    <w:p w14:paraId="60466BDE" w14:textId="77777777" w:rsidR="00160E26" w:rsidRPr="008B4D4B" w:rsidRDefault="00700BED" w:rsidP="008A7E29">
      <w:pPr>
        <w:autoSpaceDE w:val="0"/>
        <w:autoSpaceDN w:val="0"/>
        <w:adjustRightInd w:val="0"/>
        <w:jc w:val="both"/>
        <w:rPr>
          <w:rFonts w:ascii="Didot" w:hAnsi="Didot" w:cs="Didot"/>
          <w:sz w:val="22"/>
          <w:szCs w:val="22"/>
        </w:rPr>
        <w:sectPr w:rsidR="00160E26" w:rsidRPr="008B4D4B" w:rsidSect="003D6AB9">
          <w:type w:val="continuous"/>
          <w:pgSz w:w="11900" w:h="16840"/>
          <w:pgMar w:top="1440" w:right="1800" w:bottom="1440" w:left="1800" w:header="708" w:footer="708" w:gutter="0"/>
          <w:pgNumType w:start="1"/>
          <w:cols w:space="708"/>
          <w:docGrid w:linePitch="360"/>
        </w:sectPr>
      </w:pPr>
      <w:r w:rsidRPr="008B4D4B">
        <w:rPr>
          <w:rFonts w:ascii="Didot" w:hAnsi="Didot" w:cs="Didot"/>
          <w:sz w:val="22"/>
          <w:szCs w:val="22"/>
        </w:rPr>
        <w:t xml:space="preserve">The next stages are equally time-intensive and involve many considerations. A lot of challenges will arise, and you want to be ready for them. We’ll get back to these </w:t>
      </w:r>
    </w:p>
    <w:p w14:paraId="08A50AAE" w14:textId="77777777" w:rsidR="00700BED" w:rsidRPr="008B4D4B" w:rsidRDefault="00700BED" w:rsidP="008A7E29">
      <w:pPr>
        <w:autoSpaceDE w:val="0"/>
        <w:autoSpaceDN w:val="0"/>
        <w:adjustRightInd w:val="0"/>
        <w:jc w:val="both"/>
        <w:rPr>
          <w:rFonts w:ascii="Didot" w:hAnsi="Didot" w:cs="Didot"/>
          <w:sz w:val="22"/>
          <w:szCs w:val="22"/>
        </w:rPr>
      </w:pPr>
      <w:r w:rsidRPr="008B4D4B">
        <w:rPr>
          <w:rFonts w:ascii="Didot" w:hAnsi="Didot" w:cs="Didot"/>
          <w:sz w:val="22"/>
          <w:szCs w:val="22"/>
        </w:rPr>
        <w:lastRenderedPageBreak/>
        <w:t>challenges and planning steps in a minute</w:t>
      </w:r>
      <w:proofErr w:type="gramStart"/>
      <w:r w:rsidRPr="008B4D4B">
        <w:rPr>
          <w:rFonts w:ascii="Didot" w:hAnsi="Didot" w:cs="Didot"/>
          <w:sz w:val="22"/>
          <w:szCs w:val="22"/>
        </w:rPr>
        <w:t>….</w:t>
      </w:r>
      <w:proofErr w:type="gramEnd"/>
      <w:r w:rsidRPr="008B4D4B">
        <w:rPr>
          <w:rFonts w:ascii="Didot" w:hAnsi="Didot" w:cs="Didot"/>
          <w:sz w:val="22"/>
          <w:szCs w:val="22"/>
        </w:rPr>
        <w:t xml:space="preserve"> </w:t>
      </w:r>
    </w:p>
    <w:p w14:paraId="3E975F52" w14:textId="77777777" w:rsidR="00700BED" w:rsidRPr="008B4D4B" w:rsidRDefault="00700BED" w:rsidP="008A7E29">
      <w:pPr>
        <w:jc w:val="both"/>
        <w:rPr>
          <w:rFonts w:ascii="Didot" w:hAnsi="Didot" w:cs="Didot"/>
          <w:b/>
          <w:sz w:val="22"/>
          <w:szCs w:val="22"/>
        </w:rPr>
      </w:pPr>
    </w:p>
    <w:p w14:paraId="5030A9C6" w14:textId="77777777" w:rsidR="005605BF" w:rsidRPr="008B4D4B" w:rsidRDefault="00700BED" w:rsidP="008A7E29">
      <w:pPr>
        <w:jc w:val="both"/>
        <w:rPr>
          <w:rFonts w:ascii="Didot" w:hAnsi="Didot" w:cs="Didot"/>
          <w:sz w:val="22"/>
          <w:szCs w:val="22"/>
        </w:rPr>
      </w:pPr>
      <w:r w:rsidRPr="008B4D4B">
        <w:rPr>
          <w:rFonts w:ascii="Didot" w:hAnsi="Didot" w:cs="Didot"/>
          <w:b/>
          <w:sz w:val="22"/>
          <w:szCs w:val="22"/>
        </w:rPr>
        <w:t xml:space="preserve">What is high-quality implementation? </w:t>
      </w:r>
    </w:p>
    <w:p w14:paraId="75EDFABA" w14:textId="77777777" w:rsidR="005605BF" w:rsidRPr="008B4D4B" w:rsidRDefault="005605BF" w:rsidP="008A7E29">
      <w:pPr>
        <w:jc w:val="both"/>
        <w:rPr>
          <w:rFonts w:ascii="Didot" w:hAnsi="Didot" w:cs="Didot"/>
          <w:sz w:val="22"/>
          <w:szCs w:val="22"/>
        </w:rPr>
      </w:pPr>
    </w:p>
    <w:p w14:paraId="45B89DB1"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High quality implementation means implementing the new EBI fully, faithfully, and enthusiastically. Whatever the requirements of the program, they should be met as fully as possible in a local replication. For example, the number, frequency, and duration of sessions delivered to participants should match the </w:t>
      </w:r>
      <w:r w:rsidRPr="008B4D4B">
        <w:rPr>
          <w:rFonts w:ascii="Didot" w:hAnsi="Didot" w:cs="Didot"/>
          <w:i/>
          <w:sz w:val="22"/>
          <w:szCs w:val="22"/>
        </w:rPr>
        <w:t>dosage</w:t>
      </w:r>
      <w:r w:rsidRPr="008B4D4B">
        <w:rPr>
          <w:rFonts w:ascii="Didot" w:hAnsi="Didot" w:cs="Didot"/>
          <w:sz w:val="22"/>
          <w:szCs w:val="22"/>
        </w:rPr>
        <w:t xml:space="preserve"> requirements specified by a program developer. All essential content is delivered and the </w:t>
      </w:r>
      <w:r w:rsidRPr="008B4D4B">
        <w:rPr>
          <w:rFonts w:ascii="Didot" w:hAnsi="Didot" w:cs="Didot"/>
          <w:i/>
          <w:iCs/>
          <w:sz w:val="22"/>
          <w:szCs w:val="22"/>
        </w:rPr>
        <w:t xml:space="preserve">right </w:t>
      </w:r>
      <w:r w:rsidRPr="008B4D4B">
        <w:rPr>
          <w:rFonts w:ascii="Didot" w:hAnsi="Didot" w:cs="Didot"/>
          <w:sz w:val="22"/>
          <w:szCs w:val="22"/>
        </w:rPr>
        <w:t xml:space="preserve">people, agencies and/or communities are participating in the program. High quality implementation also means that program implementers have received training in the EBI and are supportive of the program. Meeting these goals helps ensure that facilitators are not only knowledgable about the content, but also can communicate it skillfully, thoughtfully, and in a manner that is engaging to participants. It is also important to consider is a program’s </w:t>
      </w:r>
      <w:r w:rsidRPr="008B4D4B">
        <w:rPr>
          <w:rFonts w:ascii="Didot" w:hAnsi="Didot" w:cs="Didot"/>
          <w:i/>
          <w:sz w:val="22"/>
          <w:szCs w:val="22"/>
        </w:rPr>
        <w:t>reach</w:t>
      </w:r>
      <w:r w:rsidRPr="008B4D4B">
        <w:rPr>
          <w:rFonts w:ascii="Didot" w:hAnsi="Didot" w:cs="Didot"/>
          <w:sz w:val="22"/>
          <w:szCs w:val="22"/>
        </w:rPr>
        <w:t xml:space="preserve">: high quality implementation means recruiting enough participants so that the intervention is cost-efficient to operate AND it can make a substantial impact on the entire community. </w:t>
      </w:r>
    </w:p>
    <w:p w14:paraId="56866D56" w14:textId="77777777" w:rsidR="00700BED" w:rsidRPr="008B4D4B" w:rsidRDefault="00700BED" w:rsidP="008A7E29">
      <w:pPr>
        <w:jc w:val="both"/>
        <w:rPr>
          <w:rFonts w:ascii="Didot" w:hAnsi="Didot" w:cs="Didot"/>
          <w:sz w:val="22"/>
          <w:szCs w:val="22"/>
        </w:rPr>
      </w:pPr>
    </w:p>
    <w:p w14:paraId="7E1D5481"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It is daunting to achieve high quality implementation, and it can be done, but it’s also important to remember that implementation quality occurs on a continuum. Some parts of a program will be more difficult to deliver than others, and some implementers will be more skilled than others. It’s okay to deviant from guidelines sometimes and in certain ways, but too much “</w:t>
      </w:r>
      <w:r w:rsidRPr="008B4D4B">
        <w:rPr>
          <w:rFonts w:ascii="Didot" w:hAnsi="Didot" w:cs="Didot"/>
          <w:i/>
          <w:sz w:val="22"/>
          <w:szCs w:val="22"/>
        </w:rPr>
        <w:t>drift</w:t>
      </w:r>
      <w:r w:rsidRPr="008B4D4B">
        <w:rPr>
          <w:rFonts w:ascii="Didot" w:hAnsi="Didot" w:cs="Didot"/>
          <w:sz w:val="22"/>
          <w:szCs w:val="22"/>
        </w:rPr>
        <w:t xml:space="preserve">” can undermine your ability to realize substantial reductions in violence. Also, realize that if you have not fully investigated the EBI prior to implementation, and selected the one you considered to be the best fit, then your chances for high quality implementation will be reduced. </w:t>
      </w:r>
    </w:p>
    <w:p w14:paraId="463FD804" w14:textId="77777777" w:rsidR="00700BED" w:rsidRPr="008B4D4B" w:rsidRDefault="00700BED" w:rsidP="008A7E29">
      <w:pPr>
        <w:jc w:val="both"/>
        <w:rPr>
          <w:rFonts w:ascii="Didot" w:hAnsi="Didot" w:cs="Didot"/>
          <w:b/>
          <w:sz w:val="22"/>
          <w:szCs w:val="22"/>
        </w:rPr>
      </w:pPr>
    </w:p>
    <w:p w14:paraId="1A4EF4BC" w14:textId="77777777" w:rsidR="005605BF" w:rsidRPr="008B4D4B" w:rsidRDefault="00700BED" w:rsidP="008A7E29">
      <w:pPr>
        <w:jc w:val="both"/>
        <w:rPr>
          <w:rFonts w:ascii="Didot" w:hAnsi="Didot" w:cs="Didot"/>
          <w:b/>
          <w:sz w:val="22"/>
          <w:szCs w:val="22"/>
        </w:rPr>
      </w:pPr>
      <w:r w:rsidRPr="008B4D4B">
        <w:rPr>
          <w:rFonts w:ascii="Didot" w:hAnsi="Didot" w:cs="Didot"/>
          <w:b/>
          <w:sz w:val="22"/>
          <w:szCs w:val="22"/>
        </w:rPr>
        <w:t>Why is high-quality implementation important?</w:t>
      </w:r>
    </w:p>
    <w:p w14:paraId="620F9D9F" w14:textId="77777777" w:rsidR="005605BF" w:rsidRPr="008B4D4B" w:rsidRDefault="005605BF" w:rsidP="008A7E29">
      <w:pPr>
        <w:jc w:val="both"/>
        <w:rPr>
          <w:rFonts w:ascii="Didot" w:hAnsi="Didot" w:cs="Didot"/>
          <w:b/>
          <w:sz w:val="22"/>
          <w:szCs w:val="22"/>
        </w:rPr>
      </w:pPr>
    </w:p>
    <w:p w14:paraId="0C1EC7FD"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Presumably, the EBI you select will have undergone rigorous testing and achieved a certain impact on rates of violence. These outcomes were achieved using particular guidelines and practices that later became manualized and passed to new generations of users. Any deviations </w:t>
      </w:r>
      <w:proofErr w:type="gramStart"/>
      <w:r w:rsidRPr="008B4D4B">
        <w:rPr>
          <w:rFonts w:ascii="Didot" w:hAnsi="Didot" w:cs="Didot"/>
          <w:sz w:val="22"/>
          <w:szCs w:val="22"/>
        </w:rPr>
        <w:t>from</w:t>
      </w:r>
      <w:proofErr w:type="gramEnd"/>
      <w:r w:rsidRPr="008B4D4B">
        <w:rPr>
          <w:rFonts w:ascii="Didot" w:hAnsi="Didot" w:cs="Didot"/>
          <w:sz w:val="22"/>
          <w:szCs w:val="22"/>
        </w:rPr>
        <w:t xml:space="preserve"> these guidelines means that the new product is less likely to resemble the old product. In turn, the outcomes that were originally achieved may not be realized during the replication. It is possible to make improvements to the model when adapting it to fit the local context. However, </w:t>
      </w:r>
      <w:r w:rsidRPr="008B4D4B">
        <w:rPr>
          <w:rFonts w:ascii="Didot" w:hAnsi="Didot" w:cs="Didot"/>
          <w:sz w:val="22"/>
          <w:szCs w:val="22"/>
        </w:rPr>
        <w:lastRenderedPageBreak/>
        <w:t xml:space="preserve">unless you are carefully monitoring implementation quality and evaluating the impact of these changes on participants, you will not know if your “new” version is more or less effective than the original model. </w:t>
      </w:r>
    </w:p>
    <w:p w14:paraId="13EAE59E" w14:textId="77777777" w:rsidR="00700BED" w:rsidRPr="008B4D4B" w:rsidRDefault="00700BED" w:rsidP="008A7E29">
      <w:pPr>
        <w:jc w:val="both"/>
        <w:rPr>
          <w:rFonts w:ascii="Didot" w:hAnsi="Didot" w:cs="Didot"/>
          <w:sz w:val="22"/>
          <w:szCs w:val="22"/>
        </w:rPr>
      </w:pPr>
    </w:p>
    <w:p w14:paraId="3577946C"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In fact, research has shown that deviations </w:t>
      </w:r>
      <w:proofErr w:type="gramStart"/>
      <w:r w:rsidRPr="008B4D4B">
        <w:rPr>
          <w:rFonts w:ascii="Didot" w:hAnsi="Didot" w:cs="Didot"/>
          <w:sz w:val="22"/>
          <w:szCs w:val="22"/>
        </w:rPr>
        <w:t>from</w:t>
      </w:r>
      <w:proofErr w:type="gramEnd"/>
      <w:r w:rsidRPr="008B4D4B">
        <w:rPr>
          <w:rFonts w:ascii="Didot" w:hAnsi="Didot" w:cs="Didot"/>
          <w:sz w:val="22"/>
          <w:szCs w:val="22"/>
        </w:rPr>
        <w:t xml:space="preserve"> implementation fidelity typically reduce anticipated changes in attitudes and behaviors. Stated another way, “higher levels of implementation lead to better outcomes” </w:t>
      </w:r>
      <w:r w:rsidR="00AF1CEC" w:rsidRPr="008B4D4B">
        <w:rPr>
          <w:rFonts w:ascii="Didot" w:hAnsi="Didot" w:cs="Didot"/>
          <w:sz w:val="22"/>
          <w:szCs w:val="22"/>
        </w:rPr>
        <w:fldChar w:fldCharType="begin"/>
      </w:r>
      <w:r w:rsidRPr="008B4D4B">
        <w:rPr>
          <w:rFonts w:ascii="Didot" w:hAnsi="Didot" w:cs="Didot"/>
          <w:sz w:val="22"/>
          <w:szCs w:val="22"/>
        </w:rPr>
        <w:instrText xml:space="preserve"> ADDIN EN.CITE &lt;EndNote&gt;&lt;Cite&gt;&lt;Author&gt;Durlak&lt;/Author&gt;&lt;Year&gt;2008&lt;/Year&gt;&lt;RecNum&gt;313&lt;/RecNum&gt;&lt;DisplayText&gt;(Durlak &amp;amp; DuPre, 2008)&lt;/DisplayText&gt;&lt;record&gt;&lt;rec-number&gt;313&lt;/rec-number&gt;&lt;foreign-keys&gt;&lt;key app="EN" db-id="2wdxadvf450aplestv25dfrr0e0xtepp0z5s"&gt;313&lt;/key&gt;&lt;/foreign-keys&gt;&lt;ref-type name="Journal Article"&gt;17&lt;/ref-type&gt;&lt;contributors&gt;&lt;authors&gt;&lt;author&gt;Durlak, Joseph A.&lt;/author&gt;&lt;author&gt;DuPre, Emily P.&lt;/author&gt;&lt;/authors&gt;&lt;/contributors&gt;&lt;titles&gt;&lt;title&gt;Implementation matters: A review of the research on the influence of implementation on program outcomes and the factors affecting implementation&lt;/title&gt;&lt;secondary-title&gt;American Journal of Community Psychology&lt;/secondary-title&gt;&lt;/titles&gt;&lt;periodical&gt;&lt;full-title&gt;American Journal of Community Psychology&lt;/full-title&gt;&lt;/periodical&gt;&lt;pages&gt;327-350&lt;/pages&gt;&lt;volume&gt;41&lt;/volume&gt;&lt;number&gt;3-4&lt;/number&gt;&lt;keywords&gt;&lt;keyword&gt;Fidelity&lt;/keyword&gt;&lt;keyword&gt;Outcomes&lt;/keyword&gt;&lt;keyword&gt;Meta-analysis&lt;/keyword&gt;&lt;keyword&gt;Training&lt;/keyword&gt;&lt;keyword&gt;Staffing&lt;/keyword&gt;&lt;keyword&gt;Champion&lt;/keyword&gt;&lt;/keywords&gt;&lt;dates&gt;&lt;year&gt;2008&lt;/year&gt;&lt;/dates&gt;&lt;urls&gt;&lt;/urls&gt;&lt;/record&gt;&lt;/Cite&gt;&lt;/EndNote&gt;</w:instrText>
      </w:r>
      <w:r w:rsidR="00AF1CEC" w:rsidRPr="008B4D4B">
        <w:rPr>
          <w:rFonts w:ascii="Didot" w:hAnsi="Didot" w:cs="Didot"/>
          <w:sz w:val="22"/>
          <w:szCs w:val="22"/>
        </w:rPr>
        <w:fldChar w:fldCharType="separate"/>
      </w:r>
      <w:r w:rsidRPr="008B4D4B">
        <w:rPr>
          <w:rFonts w:ascii="Didot" w:hAnsi="Didot" w:cs="Didot"/>
          <w:noProof/>
          <w:sz w:val="22"/>
          <w:szCs w:val="22"/>
        </w:rPr>
        <w:t>(</w:t>
      </w:r>
      <w:hyperlink w:anchor="_ENREF_1" w:tooltip="Durlak, 2008 #313" w:history="1">
        <w:r w:rsidRPr="008B4D4B">
          <w:rPr>
            <w:rFonts w:ascii="Didot" w:hAnsi="Didot" w:cs="Didot"/>
            <w:noProof/>
            <w:sz w:val="22"/>
            <w:szCs w:val="22"/>
          </w:rPr>
          <w:t>Durlak &amp; DuPre, 2008</w:t>
        </w:r>
      </w:hyperlink>
      <w:r w:rsidRPr="008B4D4B">
        <w:rPr>
          <w:rFonts w:ascii="Didot" w:hAnsi="Didot" w:cs="Didot"/>
          <w:noProof/>
          <w:sz w:val="22"/>
          <w:szCs w:val="22"/>
        </w:rPr>
        <w:t>)</w:t>
      </w:r>
      <w:r w:rsidR="00AF1CEC" w:rsidRPr="008B4D4B">
        <w:rPr>
          <w:rFonts w:ascii="Didot" w:hAnsi="Didot" w:cs="Didot"/>
          <w:sz w:val="22"/>
          <w:szCs w:val="22"/>
        </w:rPr>
        <w:fldChar w:fldCharType="end"/>
      </w:r>
      <w:r w:rsidRPr="008B4D4B">
        <w:rPr>
          <w:rFonts w:ascii="Didot" w:hAnsi="Didot" w:cs="Didot"/>
          <w:sz w:val="22"/>
          <w:szCs w:val="22"/>
        </w:rPr>
        <w:t xml:space="preserve">. </w:t>
      </w:r>
    </w:p>
    <w:p w14:paraId="4785CBA6" w14:textId="77777777" w:rsidR="00700BED" w:rsidRPr="008B4D4B" w:rsidRDefault="00700BED" w:rsidP="008A7E29">
      <w:pPr>
        <w:jc w:val="both"/>
        <w:rPr>
          <w:rFonts w:ascii="Didot" w:hAnsi="Didot" w:cs="Didot"/>
          <w:b/>
          <w:sz w:val="22"/>
          <w:szCs w:val="22"/>
        </w:rPr>
      </w:pPr>
    </w:p>
    <w:p w14:paraId="72E28607" w14:textId="77777777" w:rsidR="005605BF" w:rsidRPr="008B4D4B" w:rsidRDefault="00700BED" w:rsidP="008A7E29">
      <w:pPr>
        <w:jc w:val="both"/>
        <w:rPr>
          <w:rFonts w:ascii="Didot" w:hAnsi="Didot" w:cs="Didot"/>
          <w:b/>
          <w:sz w:val="22"/>
          <w:szCs w:val="22"/>
        </w:rPr>
      </w:pPr>
      <w:r w:rsidRPr="008B4D4B">
        <w:rPr>
          <w:rFonts w:ascii="Didot" w:hAnsi="Didot" w:cs="Didot"/>
          <w:b/>
          <w:sz w:val="22"/>
          <w:szCs w:val="22"/>
        </w:rPr>
        <w:t>What are the barriers to high-quality implementation?</w:t>
      </w:r>
    </w:p>
    <w:p w14:paraId="773CBBDE" w14:textId="77777777" w:rsidR="005605BF" w:rsidRPr="008B4D4B" w:rsidRDefault="005605BF" w:rsidP="008A7E29">
      <w:pPr>
        <w:jc w:val="both"/>
        <w:rPr>
          <w:rFonts w:ascii="Didot" w:hAnsi="Didot" w:cs="Didot"/>
          <w:b/>
          <w:sz w:val="22"/>
          <w:szCs w:val="22"/>
        </w:rPr>
      </w:pPr>
    </w:p>
    <w:p w14:paraId="70002144" w14:textId="77777777" w:rsidR="00700BED" w:rsidRPr="008B4D4B" w:rsidRDefault="00700BED" w:rsidP="008A7E29">
      <w:pPr>
        <w:jc w:val="both"/>
        <w:rPr>
          <w:rFonts w:ascii="Didot" w:hAnsi="Didot" w:cs="Didot"/>
          <w:b/>
          <w:sz w:val="22"/>
          <w:szCs w:val="22"/>
        </w:rPr>
      </w:pPr>
      <w:r w:rsidRPr="008B4D4B">
        <w:rPr>
          <w:rFonts w:ascii="Didot" w:hAnsi="Didot" w:cs="Didot"/>
          <w:sz w:val="22"/>
          <w:szCs w:val="22"/>
        </w:rPr>
        <w:t xml:space="preserve">Research also shows the high quality implementation is difficult to achieve and </w:t>
      </w:r>
      <w:proofErr w:type="gramStart"/>
      <w:r w:rsidRPr="008B4D4B">
        <w:rPr>
          <w:rFonts w:ascii="Didot" w:hAnsi="Didot" w:cs="Didot"/>
          <w:sz w:val="22"/>
          <w:szCs w:val="22"/>
        </w:rPr>
        <w:t>100%</w:t>
      </w:r>
      <w:proofErr w:type="gramEnd"/>
      <w:r w:rsidRPr="008B4D4B">
        <w:rPr>
          <w:rFonts w:ascii="Didot" w:hAnsi="Didot" w:cs="Didot"/>
          <w:sz w:val="22"/>
          <w:szCs w:val="22"/>
        </w:rPr>
        <w:t xml:space="preserve"> implementation is probably never going to occur </w:t>
      </w:r>
      <w:r w:rsidR="00AF1CEC" w:rsidRPr="008B4D4B">
        <w:rPr>
          <w:rFonts w:ascii="Didot" w:hAnsi="Didot" w:cs="Didot"/>
          <w:sz w:val="22"/>
          <w:szCs w:val="22"/>
        </w:rPr>
        <w:fldChar w:fldCharType="begin"/>
      </w:r>
      <w:r w:rsidRPr="008B4D4B">
        <w:rPr>
          <w:rFonts w:ascii="Didot" w:hAnsi="Didot" w:cs="Didot"/>
          <w:sz w:val="22"/>
          <w:szCs w:val="22"/>
        </w:rPr>
        <w:instrText xml:space="preserve"> ADDIN EN.CITE &lt;EndNote&gt;&lt;Cite&gt;&lt;Author&gt;Durlak&lt;/Author&gt;&lt;Year&gt;2008&lt;/Year&gt;&lt;RecNum&gt;313&lt;/RecNum&gt;&lt;DisplayText&gt;(Durlak &amp;amp; DuPre, 2008)&lt;/DisplayText&gt;&lt;record&gt;&lt;rec-number&gt;313&lt;/rec-number&gt;&lt;foreign-keys&gt;&lt;key app="EN" db-id="2wdxadvf450aplestv25dfrr0e0xtepp0z5s"&gt;313&lt;/key&gt;&lt;/foreign-keys&gt;&lt;ref-type name="Journal Article"&gt;17&lt;/ref-type&gt;&lt;contributors&gt;&lt;authors&gt;&lt;author&gt;Durlak, Joseph A.&lt;/author&gt;&lt;author&gt;DuPre, Emily P.&lt;/author&gt;&lt;/authors&gt;&lt;/contributors&gt;&lt;titles&gt;&lt;title&gt;Implementation matters: A review of the research on the influence of implementation on program outcomes and the factors affecting implementation&lt;/title&gt;&lt;secondary-title&gt;American Journal of Community Psychology&lt;/secondary-title&gt;&lt;/titles&gt;&lt;periodical&gt;&lt;full-title&gt;American Journal of Community Psychology&lt;/full-title&gt;&lt;/periodical&gt;&lt;pages&gt;327-350&lt;/pages&gt;&lt;volume&gt;41&lt;/volume&gt;&lt;number&gt;3-4&lt;/number&gt;&lt;keywords&gt;&lt;keyword&gt;Fidelity&lt;/keyword&gt;&lt;keyword&gt;Outcomes&lt;/keyword&gt;&lt;keyword&gt;Meta-analysis&lt;/keyword&gt;&lt;keyword&gt;Training&lt;/keyword&gt;&lt;keyword&gt;Staffing&lt;/keyword&gt;&lt;keyword&gt;Champion&lt;/keyword&gt;&lt;/keywords&gt;&lt;dates&gt;&lt;year&gt;2008&lt;/year&gt;&lt;/dates&gt;&lt;urls&gt;&lt;/urls&gt;&lt;/record&gt;&lt;/Cite&gt;&lt;/EndNote&gt;</w:instrText>
      </w:r>
      <w:r w:rsidR="00AF1CEC" w:rsidRPr="008B4D4B">
        <w:rPr>
          <w:rFonts w:ascii="Didot" w:hAnsi="Didot" w:cs="Didot"/>
          <w:sz w:val="22"/>
          <w:szCs w:val="22"/>
        </w:rPr>
        <w:fldChar w:fldCharType="separate"/>
      </w:r>
      <w:r w:rsidRPr="008B4D4B">
        <w:rPr>
          <w:rFonts w:ascii="Didot" w:hAnsi="Didot" w:cs="Didot"/>
          <w:noProof/>
          <w:sz w:val="22"/>
          <w:szCs w:val="22"/>
        </w:rPr>
        <w:t>(</w:t>
      </w:r>
      <w:hyperlink w:anchor="_ENREF_1" w:tooltip="Durlak, 2008 #313" w:history="1">
        <w:r w:rsidRPr="008B4D4B">
          <w:rPr>
            <w:rFonts w:ascii="Didot" w:hAnsi="Didot" w:cs="Didot"/>
            <w:noProof/>
            <w:sz w:val="22"/>
            <w:szCs w:val="22"/>
          </w:rPr>
          <w:t>Durlak &amp; DuPre, 2008</w:t>
        </w:r>
      </w:hyperlink>
      <w:r w:rsidRPr="008B4D4B">
        <w:rPr>
          <w:rFonts w:ascii="Didot" w:hAnsi="Didot" w:cs="Didot"/>
          <w:noProof/>
          <w:sz w:val="22"/>
          <w:szCs w:val="22"/>
        </w:rPr>
        <w:t>)</w:t>
      </w:r>
      <w:r w:rsidR="00AF1CEC" w:rsidRPr="008B4D4B">
        <w:rPr>
          <w:rFonts w:ascii="Didot" w:hAnsi="Didot" w:cs="Didot"/>
          <w:sz w:val="22"/>
          <w:szCs w:val="22"/>
        </w:rPr>
        <w:fldChar w:fldCharType="end"/>
      </w:r>
      <w:r w:rsidRPr="008B4D4B">
        <w:rPr>
          <w:rFonts w:ascii="Didot" w:hAnsi="Didot" w:cs="Didot"/>
          <w:sz w:val="22"/>
          <w:szCs w:val="22"/>
        </w:rPr>
        <w:t>.</w:t>
      </w:r>
      <w:r w:rsidRPr="008B4D4B">
        <w:rPr>
          <w:rFonts w:ascii="Didot" w:hAnsi="Didot" w:cs="Didot"/>
          <w:b/>
          <w:sz w:val="22"/>
          <w:szCs w:val="22"/>
        </w:rPr>
        <w:t xml:space="preserve"> </w:t>
      </w:r>
      <w:r w:rsidRPr="008B4D4B">
        <w:rPr>
          <w:rFonts w:ascii="Didot" w:hAnsi="Didot" w:cs="Didot"/>
          <w:sz w:val="22"/>
          <w:szCs w:val="22"/>
        </w:rPr>
        <w:t xml:space="preserve">Why not? Because implementation is challenging and barriers to high quality implementation exist at every stage of implementation. </w:t>
      </w:r>
    </w:p>
    <w:p w14:paraId="50092404" w14:textId="77777777" w:rsidR="00700BED" w:rsidRPr="008B4D4B" w:rsidRDefault="00700BED" w:rsidP="008A7E29">
      <w:pPr>
        <w:jc w:val="both"/>
        <w:rPr>
          <w:rFonts w:ascii="Didot" w:hAnsi="Didot" w:cs="Didot"/>
          <w:sz w:val="22"/>
          <w:szCs w:val="22"/>
        </w:rPr>
      </w:pPr>
    </w:p>
    <w:p w14:paraId="09B7801A"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The most common challenges documented in the literature include: </w:t>
      </w:r>
    </w:p>
    <w:p w14:paraId="5FBA2655" w14:textId="77777777" w:rsidR="005605BF" w:rsidRPr="008B4D4B" w:rsidRDefault="005605BF" w:rsidP="008A7E29">
      <w:pPr>
        <w:jc w:val="both"/>
        <w:rPr>
          <w:rFonts w:ascii="Didot" w:hAnsi="Didot" w:cs="Didot"/>
          <w:sz w:val="22"/>
          <w:szCs w:val="22"/>
        </w:rPr>
      </w:pPr>
    </w:p>
    <w:p w14:paraId="035D7043"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Exploration phase: </w:t>
      </w:r>
    </w:p>
    <w:p w14:paraId="32A8649A"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eastAsiaTheme="minorEastAsia" w:hAnsi="Didot" w:cs="Didot"/>
          <w:sz w:val="22"/>
          <w:szCs w:val="22"/>
        </w:rPr>
        <w:t>Lack of awareness about “what works”</w:t>
      </w:r>
    </w:p>
    <w:p w14:paraId="01282C82"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eastAsiaTheme="minorEastAsia" w:hAnsi="Didot" w:cs="Didot"/>
          <w:sz w:val="22"/>
          <w:szCs w:val="22"/>
        </w:rPr>
        <w:t>Lack of incentives to change practices</w:t>
      </w:r>
    </w:p>
    <w:p w14:paraId="7D40326B" w14:textId="77777777" w:rsidR="00700BED" w:rsidRPr="008B4D4B" w:rsidRDefault="00700BED" w:rsidP="008A7E29">
      <w:pPr>
        <w:pStyle w:val="ListParagraph"/>
        <w:numPr>
          <w:ilvl w:val="2"/>
          <w:numId w:val="1"/>
        </w:numPr>
        <w:jc w:val="both"/>
        <w:rPr>
          <w:rFonts w:ascii="Didot" w:hAnsi="Didot" w:cs="Didot"/>
          <w:sz w:val="22"/>
          <w:szCs w:val="22"/>
        </w:rPr>
      </w:pPr>
      <w:r w:rsidRPr="008B4D4B">
        <w:rPr>
          <w:rFonts w:ascii="Didot" w:eastAsiaTheme="minorEastAsia" w:hAnsi="Didot" w:cs="Didot"/>
          <w:sz w:val="22"/>
          <w:szCs w:val="22"/>
        </w:rPr>
        <w:t>Financial challenges</w:t>
      </w:r>
    </w:p>
    <w:p w14:paraId="22DB1FBF" w14:textId="77777777" w:rsidR="00700BED" w:rsidRPr="008B4D4B" w:rsidRDefault="00700BED" w:rsidP="008A7E29">
      <w:pPr>
        <w:pStyle w:val="ListParagraph"/>
        <w:numPr>
          <w:ilvl w:val="2"/>
          <w:numId w:val="1"/>
        </w:numPr>
        <w:jc w:val="both"/>
        <w:rPr>
          <w:rFonts w:ascii="Didot" w:hAnsi="Didot" w:cs="Didot"/>
          <w:sz w:val="22"/>
          <w:szCs w:val="22"/>
        </w:rPr>
      </w:pPr>
      <w:r w:rsidRPr="008B4D4B">
        <w:rPr>
          <w:rFonts w:ascii="Didot" w:eastAsiaTheme="minorEastAsia" w:hAnsi="Didot" w:cs="Didot"/>
          <w:sz w:val="22"/>
          <w:szCs w:val="22"/>
        </w:rPr>
        <w:t>Lack of a champion</w:t>
      </w:r>
    </w:p>
    <w:p w14:paraId="4B5D9E8E" w14:textId="77777777" w:rsidR="00700BED" w:rsidRPr="008B4D4B" w:rsidRDefault="00700BED" w:rsidP="008A7E29">
      <w:pPr>
        <w:pStyle w:val="ListParagraph"/>
        <w:numPr>
          <w:ilvl w:val="2"/>
          <w:numId w:val="1"/>
        </w:numPr>
        <w:jc w:val="both"/>
        <w:rPr>
          <w:rFonts w:ascii="Didot" w:hAnsi="Didot" w:cs="Didot"/>
          <w:sz w:val="22"/>
          <w:szCs w:val="22"/>
        </w:rPr>
      </w:pPr>
      <w:r w:rsidRPr="008B4D4B">
        <w:rPr>
          <w:rFonts w:ascii="Didot" w:eastAsiaTheme="minorEastAsia" w:hAnsi="Didot" w:cs="Didot"/>
          <w:sz w:val="22"/>
          <w:szCs w:val="22"/>
        </w:rPr>
        <w:t xml:space="preserve">Lack of “buy in” from necessary supporters </w:t>
      </w:r>
    </w:p>
    <w:p w14:paraId="619881F4"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Installation phase</w:t>
      </w:r>
    </w:p>
    <w:p w14:paraId="32BE5BB6"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Insufficient pre-planning leading to failure to choose the “right” program</w:t>
      </w:r>
    </w:p>
    <w:p w14:paraId="4BD12870"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Did not get buy-in from all key players</w:t>
      </w:r>
    </w:p>
    <w:p w14:paraId="320929EE"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Inadequate training</w:t>
      </w:r>
    </w:p>
    <w:p w14:paraId="249A4FC0" w14:textId="77777777" w:rsidR="005605BF" w:rsidRPr="008B4D4B" w:rsidRDefault="005605BF" w:rsidP="008A7E29">
      <w:pPr>
        <w:pStyle w:val="ListParagraph"/>
        <w:ind w:left="1440"/>
        <w:jc w:val="both"/>
        <w:rPr>
          <w:rFonts w:ascii="Didot" w:hAnsi="Didot" w:cs="Didot"/>
          <w:sz w:val="22"/>
          <w:szCs w:val="22"/>
        </w:rPr>
      </w:pPr>
    </w:p>
    <w:p w14:paraId="4EF24CBE"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 xml:space="preserve">Initial/Full Implementation phases </w:t>
      </w:r>
    </w:p>
    <w:p w14:paraId="4077069D"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Inadequate leadership</w:t>
      </w:r>
    </w:p>
    <w:p w14:paraId="31459CF6"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Program not well integrated with organizations and system(s)</w:t>
      </w:r>
    </w:p>
    <w:p w14:paraId="56A360BC"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Insufficient resources are allocated</w:t>
      </w:r>
    </w:p>
    <w:p w14:paraId="54C2DE31"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Implementers are isolated and unsupported</w:t>
      </w:r>
    </w:p>
    <w:p w14:paraId="52D2EC18"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Implementer turn-over</w:t>
      </w:r>
    </w:p>
    <w:p w14:paraId="00B83CF3"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The quality of implementation is not monitored</w:t>
      </w:r>
    </w:p>
    <w:p w14:paraId="3706DCCB" w14:textId="77777777" w:rsidR="00700BED" w:rsidRPr="008B4D4B" w:rsidRDefault="00700BED" w:rsidP="008A7E29">
      <w:pPr>
        <w:pStyle w:val="ListParagraph"/>
        <w:numPr>
          <w:ilvl w:val="2"/>
          <w:numId w:val="1"/>
        </w:numPr>
        <w:jc w:val="both"/>
        <w:rPr>
          <w:rFonts w:ascii="Didot" w:hAnsi="Didot" w:cs="Didot"/>
          <w:sz w:val="22"/>
          <w:szCs w:val="22"/>
        </w:rPr>
      </w:pPr>
      <w:r w:rsidRPr="008B4D4B">
        <w:rPr>
          <w:rFonts w:ascii="Didot" w:hAnsi="Didot" w:cs="Didot"/>
          <w:sz w:val="22"/>
          <w:szCs w:val="22"/>
        </w:rPr>
        <w:t>Major adaptations are made with no consideration of their impact on the program model</w:t>
      </w:r>
    </w:p>
    <w:p w14:paraId="1D511929" w14:textId="77777777" w:rsidR="00700BED" w:rsidRPr="008B4D4B" w:rsidRDefault="00700BED" w:rsidP="008A7E29">
      <w:pPr>
        <w:pStyle w:val="ListParagraph"/>
        <w:numPr>
          <w:ilvl w:val="2"/>
          <w:numId w:val="1"/>
        </w:numPr>
        <w:jc w:val="both"/>
        <w:rPr>
          <w:rFonts w:ascii="Didot" w:hAnsi="Didot" w:cs="Didot"/>
          <w:sz w:val="22"/>
          <w:szCs w:val="22"/>
        </w:rPr>
      </w:pPr>
      <w:r w:rsidRPr="008B4D4B">
        <w:rPr>
          <w:rFonts w:ascii="Didot" w:hAnsi="Didot" w:cs="Didot"/>
          <w:sz w:val="22"/>
          <w:szCs w:val="22"/>
        </w:rPr>
        <w:t>Challenges arise that are not addressed</w:t>
      </w:r>
    </w:p>
    <w:p w14:paraId="4B3F0ECA" w14:textId="77777777" w:rsidR="00700BED" w:rsidRPr="008B4D4B" w:rsidRDefault="00700BED" w:rsidP="008A7E29">
      <w:pPr>
        <w:jc w:val="both"/>
        <w:rPr>
          <w:rFonts w:ascii="Didot" w:hAnsi="Didot" w:cs="Didot"/>
          <w:sz w:val="22"/>
          <w:szCs w:val="22"/>
        </w:rPr>
      </w:pPr>
      <w:r w:rsidRPr="008B4D4B">
        <w:rPr>
          <w:rFonts w:ascii="Didot" w:hAnsi="Didot" w:cs="Didot"/>
          <w:sz w:val="22"/>
          <w:szCs w:val="22"/>
        </w:rPr>
        <w:t>Sustainability phase</w:t>
      </w:r>
    </w:p>
    <w:p w14:paraId="4D272D81"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Earlier challenges have not been addressed</w:t>
      </w:r>
    </w:p>
    <w:p w14:paraId="73098AB2"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 xml:space="preserve">Lack of buy-in and support from leadership, staff, and the community </w:t>
      </w:r>
    </w:p>
    <w:p w14:paraId="501AD0E4"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Staff and leadership turnover</w:t>
      </w:r>
    </w:p>
    <w:p w14:paraId="2FCC88FB"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 xml:space="preserve">Permanent funding stream never identified </w:t>
      </w:r>
    </w:p>
    <w:p w14:paraId="54AFC9F8" w14:textId="77777777" w:rsidR="00700BED" w:rsidRPr="008B4D4B" w:rsidRDefault="00700BED" w:rsidP="008A7E29">
      <w:pPr>
        <w:pStyle w:val="ListParagraph"/>
        <w:numPr>
          <w:ilvl w:val="1"/>
          <w:numId w:val="1"/>
        </w:numPr>
        <w:jc w:val="both"/>
        <w:rPr>
          <w:rFonts w:ascii="Didot" w:hAnsi="Didot" w:cs="Didot"/>
          <w:sz w:val="22"/>
          <w:szCs w:val="22"/>
        </w:rPr>
      </w:pPr>
      <w:r w:rsidRPr="008B4D4B">
        <w:rPr>
          <w:rFonts w:ascii="Didot" w:hAnsi="Didot" w:cs="Didot"/>
          <w:sz w:val="22"/>
          <w:szCs w:val="22"/>
        </w:rPr>
        <w:t>No on-going system to monitor implementation and provide quality assurance was created</w:t>
      </w:r>
    </w:p>
    <w:p w14:paraId="76E3FF30" w14:textId="77777777" w:rsidR="00700BED" w:rsidRPr="008B4D4B" w:rsidRDefault="00700BED" w:rsidP="008A7E29">
      <w:pPr>
        <w:jc w:val="both"/>
        <w:rPr>
          <w:rFonts w:ascii="Didot" w:hAnsi="Didot" w:cs="Didot"/>
          <w:b/>
          <w:sz w:val="22"/>
          <w:szCs w:val="22"/>
        </w:rPr>
      </w:pPr>
    </w:p>
    <w:p w14:paraId="23C1DB4F" w14:textId="77777777" w:rsidR="00700BED" w:rsidRPr="008B4D4B" w:rsidRDefault="00700BED" w:rsidP="008A7E29">
      <w:pPr>
        <w:jc w:val="both"/>
        <w:rPr>
          <w:rFonts w:ascii="Didot" w:hAnsi="Didot" w:cs="Didot"/>
          <w:b/>
          <w:sz w:val="22"/>
          <w:szCs w:val="22"/>
        </w:rPr>
      </w:pPr>
      <w:r w:rsidRPr="008B4D4B">
        <w:rPr>
          <w:rFonts w:ascii="Didot" w:hAnsi="Didot" w:cs="Didot"/>
          <w:b/>
          <w:sz w:val="22"/>
          <w:szCs w:val="22"/>
        </w:rPr>
        <w:t xml:space="preserve">What is necessary for achieving high-quality implementation? </w:t>
      </w:r>
    </w:p>
    <w:p w14:paraId="5F073DBD" w14:textId="77777777" w:rsidR="005605BF" w:rsidRPr="008B4D4B" w:rsidRDefault="005605BF" w:rsidP="008A7E29">
      <w:pPr>
        <w:jc w:val="both"/>
        <w:rPr>
          <w:rFonts w:ascii="Didot" w:hAnsi="Didot" w:cs="Didot"/>
          <w:b/>
          <w:sz w:val="22"/>
          <w:szCs w:val="22"/>
        </w:rPr>
      </w:pPr>
    </w:p>
    <w:p w14:paraId="33D865E9" w14:textId="77777777" w:rsidR="00700BED" w:rsidRPr="008B4D4B" w:rsidRDefault="00700BED" w:rsidP="008A7E29">
      <w:pPr>
        <w:numPr>
          <w:ilvl w:val="0"/>
          <w:numId w:val="3"/>
        </w:numPr>
        <w:autoSpaceDE w:val="0"/>
        <w:autoSpaceDN w:val="0"/>
        <w:adjustRightInd w:val="0"/>
        <w:jc w:val="both"/>
        <w:rPr>
          <w:rFonts w:ascii="Didot" w:hAnsi="Didot" w:cs="Didot"/>
          <w:sz w:val="22"/>
          <w:szCs w:val="22"/>
        </w:rPr>
      </w:pPr>
      <w:r w:rsidRPr="008B4D4B">
        <w:rPr>
          <w:rFonts w:ascii="Didot" w:hAnsi="Didot" w:cs="Didot"/>
          <w:bCs/>
          <w:sz w:val="22"/>
          <w:szCs w:val="22"/>
        </w:rPr>
        <w:lastRenderedPageBreak/>
        <w:t>Local planning and responsibility</w:t>
      </w:r>
    </w:p>
    <w:p w14:paraId="0FCA64DA" w14:textId="77777777" w:rsidR="00700BED" w:rsidRPr="008B4D4B" w:rsidRDefault="00700BED" w:rsidP="008A7E29">
      <w:pPr>
        <w:numPr>
          <w:ilvl w:val="0"/>
          <w:numId w:val="3"/>
        </w:numPr>
        <w:autoSpaceDE w:val="0"/>
        <w:autoSpaceDN w:val="0"/>
        <w:adjustRightInd w:val="0"/>
        <w:jc w:val="both"/>
        <w:rPr>
          <w:rFonts w:ascii="Didot" w:hAnsi="Didot" w:cs="Didot"/>
          <w:sz w:val="22"/>
          <w:szCs w:val="22"/>
        </w:rPr>
      </w:pPr>
      <w:r w:rsidRPr="008B4D4B">
        <w:rPr>
          <w:rFonts w:ascii="Didot" w:hAnsi="Didot" w:cs="Didot"/>
          <w:bCs/>
          <w:sz w:val="22"/>
          <w:szCs w:val="22"/>
        </w:rPr>
        <w:t xml:space="preserve">A detailed plan for implementation (who, where, what, when) prior to the start of programming </w:t>
      </w:r>
    </w:p>
    <w:p w14:paraId="628BC46D" w14:textId="77777777" w:rsidR="00700BED" w:rsidRPr="008B4D4B" w:rsidRDefault="00700BED" w:rsidP="008A7E29">
      <w:pPr>
        <w:numPr>
          <w:ilvl w:val="0"/>
          <w:numId w:val="3"/>
        </w:numPr>
        <w:autoSpaceDE w:val="0"/>
        <w:autoSpaceDN w:val="0"/>
        <w:adjustRightInd w:val="0"/>
        <w:jc w:val="both"/>
        <w:rPr>
          <w:rFonts w:ascii="Didot" w:hAnsi="Didot" w:cs="Didot"/>
          <w:sz w:val="22"/>
          <w:szCs w:val="22"/>
        </w:rPr>
      </w:pPr>
      <w:r w:rsidRPr="008B4D4B">
        <w:rPr>
          <w:rFonts w:ascii="Didot" w:hAnsi="Didot" w:cs="Didot"/>
          <w:bCs/>
          <w:sz w:val="22"/>
          <w:szCs w:val="22"/>
        </w:rPr>
        <w:t>Integration of the program into the agency’s normal operations</w:t>
      </w:r>
    </w:p>
    <w:p w14:paraId="26FB8382" w14:textId="77777777" w:rsidR="00700BED" w:rsidRPr="008B4D4B" w:rsidRDefault="00700BED" w:rsidP="008A7E29">
      <w:pPr>
        <w:numPr>
          <w:ilvl w:val="0"/>
          <w:numId w:val="3"/>
        </w:numPr>
        <w:autoSpaceDE w:val="0"/>
        <w:autoSpaceDN w:val="0"/>
        <w:adjustRightInd w:val="0"/>
        <w:jc w:val="both"/>
        <w:rPr>
          <w:rFonts w:ascii="Didot" w:hAnsi="Didot" w:cs="Didot"/>
          <w:sz w:val="22"/>
          <w:szCs w:val="22"/>
        </w:rPr>
      </w:pPr>
      <w:r w:rsidRPr="008B4D4B">
        <w:rPr>
          <w:rFonts w:ascii="Didot" w:hAnsi="Didot" w:cs="Didot"/>
          <w:bCs/>
          <w:sz w:val="22"/>
          <w:szCs w:val="22"/>
        </w:rPr>
        <w:t>Strong administrative support</w:t>
      </w:r>
    </w:p>
    <w:p w14:paraId="19F0DA03" w14:textId="77777777" w:rsidR="00700BED" w:rsidRPr="008B4D4B" w:rsidRDefault="00700BED" w:rsidP="008A7E29">
      <w:pPr>
        <w:numPr>
          <w:ilvl w:val="0"/>
          <w:numId w:val="3"/>
        </w:numPr>
        <w:autoSpaceDE w:val="0"/>
        <w:autoSpaceDN w:val="0"/>
        <w:adjustRightInd w:val="0"/>
        <w:jc w:val="both"/>
        <w:rPr>
          <w:rFonts w:ascii="Didot" w:hAnsi="Didot" w:cs="Didot"/>
          <w:sz w:val="22"/>
          <w:szCs w:val="22"/>
        </w:rPr>
      </w:pPr>
      <w:r w:rsidRPr="008B4D4B">
        <w:rPr>
          <w:rFonts w:ascii="Didot" w:hAnsi="Didot" w:cs="Didot"/>
          <w:bCs/>
          <w:sz w:val="22"/>
          <w:szCs w:val="22"/>
        </w:rPr>
        <w:t>Skilled and supportive implementers</w:t>
      </w:r>
    </w:p>
    <w:p w14:paraId="47E85904" w14:textId="77777777" w:rsidR="00700BED" w:rsidRPr="008B4D4B" w:rsidRDefault="00700BED" w:rsidP="008A7E29">
      <w:pPr>
        <w:numPr>
          <w:ilvl w:val="0"/>
          <w:numId w:val="3"/>
        </w:numPr>
        <w:autoSpaceDE w:val="0"/>
        <w:autoSpaceDN w:val="0"/>
        <w:adjustRightInd w:val="0"/>
        <w:jc w:val="both"/>
        <w:rPr>
          <w:rFonts w:ascii="Didot" w:hAnsi="Didot" w:cs="Didot"/>
          <w:sz w:val="22"/>
          <w:szCs w:val="22"/>
        </w:rPr>
      </w:pPr>
      <w:r w:rsidRPr="008B4D4B">
        <w:rPr>
          <w:rFonts w:ascii="Didot" w:hAnsi="Didot" w:cs="Didot"/>
          <w:bCs/>
          <w:sz w:val="22"/>
          <w:szCs w:val="22"/>
        </w:rPr>
        <w:t>On-going coaching and technical support</w:t>
      </w:r>
    </w:p>
    <w:p w14:paraId="37ABC393" w14:textId="77777777" w:rsidR="00700BED" w:rsidRPr="008B4D4B" w:rsidRDefault="00700BED" w:rsidP="008A7E29">
      <w:pPr>
        <w:numPr>
          <w:ilvl w:val="0"/>
          <w:numId w:val="3"/>
        </w:numPr>
        <w:autoSpaceDE w:val="0"/>
        <w:autoSpaceDN w:val="0"/>
        <w:adjustRightInd w:val="0"/>
        <w:jc w:val="both"/>
        <w:rPr>
          <w:rFonts w:ascii="Didot" w:hAnsi="Didot" w:cs="Didot"/>
          <w:sz w:val="22"/>
          <w:szCs w:val="22"/>
        </w:rPr>
      </w:pPr>
      <w:r w:rsidRPr="008B4D4B">
        <w:rPr>
          <w:rFonts w:ascii="Didot" w:hAnsi="Didot" w:cs="Didot"/>
          <w:bCs/>
          <w:sz w:val="22"/>
          <w:szCs w:val="22"/>
        </w:rPr>
        <w:t>Monitoring and evaluation</w:t>
      </w:r>
    </w:p>
    <w:p w14:paraId="537A9F11" w14:textId="77777777" w:rsidR="00700BED" w:rsidRPr="008B4D4B" w:rsidRDefault="00700BED" w:rsidP="008A7E29">
      <w:pPr>
        <w:jc w:val="both"/>
        <w:rPr>
          <w:rFonts w:ascii="Didot" w:hAnsi="Didot" w:cs="Didot"/>
          <w:sz w:val="22"/>
          <w:szCs w:val="22"/>
        </w:rPr>
      </w:pPr>
    </w:p>
    <w:p w14:paraId="22351FA7" w14:textId="77777777" w:rsidR="00700BED" w:rsidRPr="008B4D4B" w:rsidRDefault="00700BED" w:rsidP="008A7E29">
      <w:pPr>
        <w:jc w:val="both"/>
        <w:rPr>
          <w:rFonts w:ascii="Didot" w:hAnsi="Didot" w:cs="Didot"/>
          <w:sz w:val="22"/>
          <w:szCs w:val="22"/>
        </w:rPr>
      </w:pPr>
      <w:r w:rsidRPr="008B4D4B">
        <w:rPr>
          <w:rFonts w:ascii="Didot" w:hAnsi="Didot" w:cs="Didot"/>
          <w:b/>
          <w:sz w:val="22"/>
          <w:szCs w:val="22"/>
        </w:rPr>
        <w:t>What is the potential we can achieve high quality implementation of violence prevention interventions at scale?</w:t>
      </w:r>
      <w:r w:rsidRPr="008B4D4B">
        <w:rPr>
          <w:rFonts w:ascii="Didot" w:hAnsi="Didot" w:cs="Didot"/>
          <w:sz w:val="22"/>
          <w:szCs w:val="22"/>
        </w:rPr>
        <w:t xml:space="preserve"> Funding issues aside, the most challenging aspects of achieving this goal are likely to be: </w:t>
      </w:r>
    </w:p>
    <w:p w14:paraId="6B0C004A" w14:textId="77777777" w:rsidR="00700BED" w:rsidRPr="008B4D4B" w:rsidRDefault="00700BED" w:rsidP="008A7E29">
      <w:pPr>
        <w:pStyle w:val="ListParagraph"/>
        <w:numPr>
          <w:ilvl w:val="0"/>
          <w:numId w:val="2"/>
        </w:numPr>
        <w:jc w:val="both"/>
        <w:rPr>
          <w:rFonts w:ascii="Didot" w:hAnsi="Didot" w:cs="Didot"/>
          <w:sz w:val="22"/>
          <w:szCs w:val="22"/>
        </w:rPr>
      </w:pPr>
      <w:r w:rsidRPr="008B4D4B">
        <w:rPr>
          <w:rFonts w:ascii="Didot" w:hAnsi="Didot" w:cs="Didot"/>
          <w:sz w:val="22"/>
          <w:szCs w:val="22"/>
        </w:rPr>
        <w:t xml:space="preserve">Convincing the public of the need to implement </w:t>
      </w:r>
      <w:r w:rsidRPr="008B4D4B">
        <w:rPr>
          <w:rFonts w:ascii="Didot" w:hAnsi="Didot" w:cs="Didot"/>
          <w:i/>
          <w:sz w:val="22"/>
          <w:szCs w:val="22"/>
        </w:rPr>
        <w:t>prevention</w:t>
      </w:r>
      <w:r w:rsidRPr="008B4D4B">
        <w:rPr>
          <w:rFonts w:ascii="Didot" w:hAnsi="Didot" w:cs="Didot"/>
          <w:sz w:val="22"/>
          <w:szCs w:val="22"/>
        </w:rPr>
        <w:t xml:space="preserve"> programs to reduce violence </w:t>
      </w:r>
    </w:p>
    <w:p w14:paraId="467400AE" w14:textId="77777777" w:rsidR="00700BED" w:rsidRPr="008B4D4B" w:rsidRDefault="00700BED" w:rsidP="008A7E29">
      <w:pPr>
        <w:pStyle w:val="ListParagraph"/>
        <w:numPr>
          <w:ilvl w:val="0"/>
          <w:numId w:val="2"/>
        </w:numPr>
        <w:jc w:val="both"/>
        <w:rPr>
          <w:rFonts w:ascii="Didot" w:hAnsi="Didot" w:cs="Didot"/>
          <w:sz w:val="22"/>
          <w:szCs w:val="22"/>
        </w:rPr>
      </w:pPr>
      <w:r w:rsidRPr="008B4D4B">
        <w:rPr>
          <w:rFonts w:ascii="Didot" w:hAnsi="Didot" w:cs="Didot"/>
          <w:sz w:val="22"/>
          <w:szCs w:val="22"/>
        </w:rPr>
        <w:t xml:space="preserve">Helping communities/agencies </w:t>
      </w:r>
      <w:r w:rsidRPr="008B4D4B">
        <w:rPr>
          <w:rFonts w:ascii="Didot" w:hAnsi="Didot" w:cs="Didot"/>
          <w:i/>
          <w:sz w:val="22"/>
          <w:szCs w:val="22"/>
        </w:rPr>
        <w:t>prepare for</w:t>
      </w:r>
      <w:r w:rsidRPr="008B4D4B">
        <w:rPr>
          <w:rFonts w:ascii="Didot" w:hAnsi="Didot" w:cs="Didot"/>
          <w:sz w:val="22"/>
          <w:szCs w:val="22"/>
        </w:rPr>
        <w:t xml:space="preserve"> implementation, especially during the exploration phase.  Attention must be paid to the requirements and resources associated with different EBIs to ensure that the one selected is a good </w:t>
      </w:r>
      <w:r w:rsidRPr="008B4D4B">
        <w:rPr>
          <w:rFonts w:ascii="Didot" w:hAnsi="Didot" w:cs="Didot"/>
          <w:i/>
          <w:sz w:val="22"/>
          <w:szCs w:val="22"/>
        </w:rPr>
        <w:t>fit</w:t>
      </w:r>
      <w:r w:rsidRPr="008B4D4B">
        <w:rPr>
          <w:rFonts w:ascii="Didot" w:hAnsi="Didot" w:cs="Didot"/>
          <w:sz w:val="22"/>
          <w:szCs w:val="22"/>
        </w:rPr>
        <w:t xml:space="preserve"> with local capacity.</w:t>
      </w:r>
    </w:p>
    <w:p w14:paraId="6B4AFF55" w14:textId="77777777" w:rsidR="00700BED" w:rsidRPr="008B4D4B" w:rsidRDefault="00700BED" w:rsidP="008A7E29">
      <w:pPr>
        <w:pStyle w:val="ListParagraph"/>
        <w:numPr>
          <w:ilvl w:val="0"/>
          <w:numId w:val="2"/>
        </w:numPr>
        <w:jc w:val="both"/>
        <w:rPr>
          <w:rFonts w:ascii="Didot" w:hAnsi="Didot" w:cs="Didot"/>
          <w:sz w:val="22"/>
          <w:szCs w:val="22"/>
        </w:rPr>
      </w:pPr>
      <w:r w:rsidRPr="008B4D4B">
        <w:rPr>
          <w:rFonts w:ascii="Didot" w:hAnsi="Didot" w:cs="Didot"/>
          <w:sz w:val="22"/>
          <w:szCs w:val="22"/>
        </w:rPr>
        <w:t xml:space="preserve">Building an infrastructure to collect and analyze </w:t>
      </w:r>
      <w:r w:rsidRPr="008B4D4B">
        <w:rPr>
          <w:rFonts w:ascii="Didot" w:hAnsi="Didot" w:cs="Didot"/>
          <w:i/>
          <w:sz w:val="22"/>
          <w:szCs w:val="22"/>
        </w:rPr>
        <w:t>meaningful data</w:t>
      </w:r>
      <w:r w:rsidRPr="008B4D4B">
        <w:rPr>
          <w:rFonts w:ascii="Didot" w:hAnsi="Didot" w:cs="Didot"/>
          <w:sz w:val="22"/>
          <w:szCs w:val="22"/>
        </w:rPr>
        <w:t xml:space="preserve"> on implementation quality, and to engage in </w:t>
      </w:r>
      <w:r w:rsidRPr="008B4D4B">
        <w:rPr>
          <w:rFonts w:ascii="Didot" w:hAnsi="Didot" w:cs="Didot"/>
          <w:i/>
          <w:sz w:val="22"/>
          <w:szCs w:val="22"/>
        </w:rPr>
        <w:t>timely and supportive</w:t>
      </w:r>
      <w:r w:rsidRPr="008B4D4B">
        <w:rPr>
          <w:rFonts w:ascii="Didot" w:hAnsi="Didot" w:cs="Didot"/>
          <w:sz w:val="22"/>
          <w:szCs w:val="22"/>
        </w:rPr>
        <w:t xml:space="preserve"> quality </w:t>
      </w:r>
      <w:proofErr w:type="gramStart"/>
      <w:r w:rsidRPr="008B4D4B">
        <w:rPr>
          <w:rFonts w:ascii="Didot" w:hAnsi="Didot" w:cs="Didot"/>
          <w:sz w:val="22"/>
          <w:szCs w:val="22"/>
        </w:rPr>
        <w:t>improvement  based</w:t>
      </w:r>
      <w:proofErr w:type="gramEnd"/>
      <w:r w:rsidRPr="008B4D4B">
        <w:rPr>
          <w:rFonts w:ascii="Didot" w:hAnsi="Didot" w:cs="Didot"/>
          <w:sz w:val="22"/>
          <w:szCs w:val="22"/>
        </w:rPr>
        <w:t xml:space="preserve"> on these data</w:t>
      </w:r>
    </w:p>
    <w:p w14:paraId="37323DD7" w14:textId="77777777" w:rsidR="00700BED" w:rsidRPr="008B4D4B" w:rsidRDefault="00700BED" w:rsidP="008A7E29">
      <w:pPr>
        <w:pStyle w:val="ListParagraph"/>
        <w:numPr>
          <w:ilvl w:val="0"/>
          <w:numId w:val="2"/>
        </w:numPr>
        <w:jc w:val="both"/>
        <w:rPr>
          <w:rFonts w:ascii="Didot" w:hAnsi="Didot" w:cs="Didot"/>
          <w:sz w:val="22"/>
          <w:szCs w:val="22"/>
        </w:rPr>
      </w:pPr>
      <w:r w:rsidRPr="008B4D4B">
        <w:rPr>
          <w:rFonts w:ascii="Didot" w:hAnsi="Didot" w:cs="Didot"/>
          <w:sz w:val="22"/>
          <w:szCs w:val="22"/>
        </w:rPr>
        <w:t xml:space="preserve">Implementing </w:t>
      </w:r>
      <w:r w:rsidRPr="008B4D4B">
        <w:rPr>
          <w:rFonts w:ascii="Didot" w:hAnsi="Didot" w:cs="Didot"/>
          <w:i/>
          <w:sz w:val="22"/>
          <w:szCs w:val="22"/>
        </w:rPr>
        <w:t>each intervention</w:t>
      </w:r>
      <w:r w:rsidRPr="008B4D4B">
        <w:rPr>
          <w:rFonts w:ascii="Didot" w:hAnsi="Didot" w:cs="Didot"/>
          <w:sz w:val="22"/>
          <w:szCs w:val="22"/>
        </w:rPr>
        <w:t xml:space="preserve"> at scale, so that </w:t>
      </w:r>
      <w:proofErr w:type="gramStart"/>
      <w:r w:rsidRPr="008B4D4B">
        <w:rPr>
          <w:rFonts w:ascii="Didot" w:hAnsi="Didot" w:cs="Didot"/>
          <w:sz w:val="22"/>
          <w:szCs w:val="22"/>
        </w:rPr>
        <w:t>that entire communities</w:t>
      </w:r>
      <w:proofErr w:type="gramEnd"/>
      <w:r w:rsidRPr="008B4D4B">
        <w:rPr>
          <w:rFonts w:ascii="Didot" w:hAnsi="Didot" w:cs="Didot"/>
          <w:sz w:val="22"/>
          <w:szCs w:val="22"/>
        </w:rPr>
        <w:t xml:space="preserve"> can benefit from them. Although financial obstacles will exist, perhaps a more daunting obstacle is changing the mindset and usual practice of “small” program reach. </w:t>
      </w:r>
    </w:p>
    <w:p w14:paraId="7502FC83" w14:textId="77777777" w:rsidR="00160E26" w:rsidRPr="006916FC" w:rsidRDefault="00160E26" w:rsidP="008A7E29">
      <w:pPr>
        <w:widowControl w:val="0"/>
        <w:pBdr>
          <w:bottom w:val="single" w:sz="12" w:space="1" w:color="auto"/>
        </w:pBdr>
        <w:autoSpaceDE w:val="0"/>
        <w:autoSpaceDN w:val="0"/>
        <w:adjustRightInd w:val="0"/>
        <w:spacing w:after="200"/>
        <w:jc w:val="both"/>
        <w:rPr>
          <w:rFonts w:ascii="Didot" w:hAnsi="Didot" w:cs="Didot"/>
          <w:color w:val="121212"/>
          <w:sz w:val="34"/>
          <w:szCs w:val="34"/>
          <w:lang w:val="en-US"/>
        </w:rPr>
      </w:pPr>
    </w:p>
    <w:p w14:paraId="09F5C2E7" w14:textId="77777777" w:rsidR="00160E26" w:rsidRPr="006916FC" w:rsidRDefault="00160E26" w:rsidP="008A7E29">
      <w:pPr>
        <w:widowControl w:val="0"/>
        <w:autoSpaceDE w:val="0"/>
        <w:autoSpaceDN w:val="0"/>
        <w:adjustRightInd w:val="0"/>
        <w:spacing w:after="200"/>
        <w:jc w:val="both"/>
        <w:rPr>
          <w:rFonts w:ascii="Didot" w:hAnsi="Didot" w:cs="Didot"/>
          <w:color w:val="121212"/>
          <w:sz w:val="34"/>
          <w:szCs w:val="34"/>
          <w:lang w:val="en-US"/>
        </w:rPr>
      </w:pPr>
    </w:p>
    <w:p w14:paraId="7A181BF7" w14:textId="77777777" w:rsidR="00160E26" w:rsidRPr="006916FC" w:rsidRDefault="00160E26" w:rsidP="008A7E29">
      <w:pPr>
        <w:widowControl w:val="0"/>
        <w:autoSpaceDE w:val="0"/>
        <w:autoSpaceDN w:val="0"/>
        <w:adjustRightInd w:val="0"/>
        <w:spacing w:after="200"/>
        <w:jc w:val="both"/>
        <w:rPr>
          <w:rFonts w:ascii="Didot" w:hAnsi="Didot" w:cs="Didot"/>
          <w:color w:val="121212"/>
          <w:sz w:val="34"/>
          <w:szCs w:val="34"/>
          <w:lang w:val="en-US"/>
        </w:rPr>
        <w:sectPr w:rsidR="00160E26" w:rsidRPr="006916FC" w:rsidSect="00160E26">
          <w:type w:val="continuous"/>
          <w:pgSz w:w="11900" w:h="16840"/>
          <w:pgMar w:top="1440" w:right="1800" w:bottom="1440" w:left="1800" w:header="708" w:footer="708" w:gutter="0"/>
          <w:pgNumType w:start="1"/>
          <w:cols w:space="708"/>
          <w:docGrid w:linePitch="360"/>
        </w:sectPr>
      </w:pPr>
    </w:p>
    <w:p w14:paraId="1A4F3613" w14:textId="77777777" w:rsidR="000D6A2E" w:rsidRPr="006916FC" w:rsidRDefault="000D6A2E" w:rsidP="008A7E29">
      <w:pPr>
        <w:widowControl w:val="0"/>
        <w:autoSpaceDE w:val="0"/>
        <w:autoSpaceDN w:val="0"/>
        <w:adjustRightInd w:val="0"/>
        <w:spacing w:after="200"/>
        <w:jc w:val="both"/>
        <w:rPr>
          <w:rFonts w:ascii="Didot" w:hAnsi="Didot" w:cs="Didot"/>
          <w:color w:val="121212"/>
          <w:sz w:val="34"/>
          <w:szCs w:val="34"/>
          <w:lang w:val="en-US"/>
        </w:rPr>
      </w:pPr>
    </w:p>
    <w:p w14:paraId="6BDA2B20" w14:textId="77777777" w:rsidR="004F6BB2" w:rsidRPr="006916FC" w:rsidRDefault="004F6BB2" w:rsidP="008A7E29">
      <w:pPr>
        <w:widowControl w:val="0"/>
        <w:autoSpaceDE w:val="0"/>
        <w:autoSpaceDN w:val="0"/>
        <w:adjustRightInd w:val="0"/>
        <w:spacing w:after="200"/>
        <w:jc w:val="both"/>
        <w:rPr>
          <w:rFonts w:ascii="Didot" w:hAnsi="Didot" w:cs="Didot"/>
          <w:b/>
          <w:color w:val="121212"/>
          <w:sz w:val="34"/>
          <w:szCs w:val="34"/>
          <w:lang w:val="en-US"/>
        </w:rPr>
      </w:pPr>
    </w:p>
    <w:p w14:paraId="2BB55B9E" w14:textId="77777777" w:rsidR="000C5D6B" w:rsidRPr="006916FC" w:rsidRDefault="000C5D6B" w:rsidP="008A7E29">
      <w:pPr>
        <w:widowControl w:val="0"/>
        <w:autoSpaceDE w:val="0"/>
        <w:autoSpaceDN w:val="0"/>
        <w:adjustRightInd w:val="0"/>
        <w:spacing w:after="200"/>
        <w:jc w:val="both"/>
        <w:rPr>
          <w:rFonts w:ascii="Didot" w:hAnsi="Didot" w:cs="Didot"/>
          <w:b/>
          <w:color w:val="121212"/>
          <w:sz w:val="34"/>
          <w:szCs w:val="34"/>
          <w:lang w:val="en-US"/>
        </w:rPr>
      </w:pPr>
    </w:p>
    <w:p w14:paraId="678892F0" w14:textId="77777777" w:rsidR="000C5D6B" w:rsidRPr="006916FC" w:rsidRDefault="000C5D6B" w:rsidP="008A7E29">
      <w:pPr>
        <w:widowControl w:val="0"/>
        <w:autoSpaceDE w:val="0"/>
        <w:autoSpaceDN w:val="0"/>
        <w:adjustRightInd w:val="0"/>
        <w:spacing w:after="200"/>
        <w:jc w:val="both"/>
        <w:rPr>
          <w:rFonts w:ascii="Didot" w:hAnsi="Didot" w:cs="Didot"/>
          <w:b/>
          <w:color w:val="121212"/>
          <w:sz w:val="34"/>
          <w:szCs w:val="34"/>
          <w:lang w:val="en-US"/>
        </w:rPr>
      </w:pPr>
    </w:p>
    <w:p w14:paraId="7D79F985" w14:textId="77777777" w:rsidR="004F6BB2" w:rsidRPr="006916FC" w:rsidRDefault="004F6BB2" w:rsidP="008A7E29">
      <w:pPr>
        <w:widowControl w:val="0"/>
        <w:autoSpaceDE w:val="0"/>
        <w:autoSpaceDN w:val="0"/>
        <w:adjustRightInd w:val="0"/>
        <w:spacing w:after="200"/>
        <w:jc w:val="both"/>
        <w:rPr>
          <w:rFonts w:ascii="Didot" w:hAnsi="Didot" w:cs="Didot"/>
          <w:b/>
          <w:color w:val="121212"/>
          <w:sz w:val="34"/>
          <w:szCs w:val="34"/>
          <w:lang w:val="en-US"/>
        </w:rPr>
      </w:pPr>
    </w:p>
    <w:p w14:paraId="4B665894" w14:textId="1D2E7804" w:rsidR="005605BF" w:rsidRPr="006916FC" w:rsidRDefault="00EE46BD" w:rsidP="008A7E29">
      <w:pPr>
        <w:pStyle w:val="Heading1"/>
        <w:rPr>
          <w:sz w:val="34"/>
          <w:szCs w:val="34"/>
        </w:rPr>
      </w:pPr>
      <w:r w:rsidRPr="006916FC">
        <w:br w:type="column"/>
      </w:r>
      <w:r w:rsidR="003D6AB9" w:rsidRPr="006916FC">
        <w:lastRenderedPageBreak/>
        <w:br w:type="column"/>
      </w:r>
      <w:bookmarkStart w:id="29" w:name="_Toc272639897"/>
      <w:bookmarkStart w:id="30" w:name="_Toc272645020"/>
      <w:r w:rsidR="005605BF" w:rsidRPr="006916FC">
        <w:rPr>
          <w:sz w:val="34"/>
          <w:szCs w:val="34"/>
        </w:rPr>
        <w:lastRenderedPageBreak/>
        <w:t>Session 3</w:t>
      </w:r>
      <w:bookmarkEnd w:id="29"/>
      <w:bookmarkEnd w:id="30"/>
      <w:r w:rsidR="005605BF" w:rsidRPr="006916FC">
        <w:rPr>
          <w:sz w:val="34"/>
          <w:szCs w:val="34"/>
        </w:rPr>
        <w:t xml:space="preserve"> </w:t>
      </w:r>
    </w:p>
    <w:p w14:paraId="306109F2" w14:textId="77777777" w:rsidR="000D6A2E" w:rsidRPr="006916FC" w:rsidRDefault="000D6A2E" w:rsidP="008A7E29">
      <w:pPr>
        <w:pStyle w:val="Heading1"/>
      </w:pPr>
      <w:bookmarkStart w:id="31" w:name="_Toc272639898"/>
      <w:bookmarkStart w:id="32" w:name="_Toc272645021"/>
      <w:r w:rsidRPr="006916FC">
        <w:t>Reducing Sexual Abuse of Children and Adolescents</w:t>
      </w:r>
      <w:bookmarkEnd w:id="31"/>
      <w:bookmarkEnd w:id="32"/>
    </w:p>
    <w:p w14:paraId="3901F85F" w14:textId="0FB43075" w:rsidR="00EE46BD" w:rsidRPr="006916FC" w:rsidRDefault="00EE46BD" w:rsidP="008B4D4B">
      <w:pPr>
        <w:widowControl w:val="0"/>
        <w:pBdr>
          <w:bottom w:val="single" w:sz="6" w:space="0"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softHyphen/>
      </w:r>
      <w:r w:rsidRPr="006916FC">
        <w:rPr>
          <w:rFonts w:ascii="Didot" w:hAnsi="Didot" w:cs="Didot"/>
          <w:b/>
          <w:bCs/>
          <w:color w:val="121212"/>
          <w:lang w:val="en-US"/>
        </w:rPr>
        <w:softHyphen/>
      </w:r>
      <w:r w:rsidRPr="006916FC">
        <w:rPr>
          <w:rFonts w:ascii="Didot" w:hAnsi="Didot" w:cs="Didot"/>
          <w:b/>
          <w:bCs/>
          <w:color w:val="121212"/>
          <w:lang w:val="en-US"/>
        </w:rPr>
        <w:softHyphen/>
      </w:r>
      <w:r w:rsidRPr="006916FC">
        <w:rPr>
          <w:rFonts w:ascii="Didot" w:hAnsi="Didot" w:cs="Didot"/>
          <w:b/>
          <w:bCs/>
          <w:color w:val="121212"/>
          <w:lang w:val="en-US"/>
        </w:rPr>
        <w:softHyphen/>
      </w:r>
      <w:r w:rsidRPr="006916FC">
        <w:rPr>
          <w:rFonts w:ascii="Didot" w:hAnsi="Didot" w:cs="Didot"/>
          <w:b/>
          <w:bCs/>
          <w:color w:val="121212"/>
          <w:lang w:val="en-US"/>
        </w:rPr>
        <w:softHyphen/>
      </w:r>
      <w:r w:rsidRPr="006916FC">
        <w:rPr>
          <w:rFonts w:ascii="Didot" w:hAnsi="Didot" w:cs="Didot"/>
          <w:b/>
          <w:bCs/>
          <w:color w:val="121212"/>
          <w:lang w:val="en-US"/>
        </w:rPr>
        <w:softHyphen/>
      </w:r>
    </w:p>
    <w:p w14:paraId="15C75D23" w14:textId="77777777" w:rsidR="004F6BB2" w:rsidRDefault="000D6A2E" w:rsidP="008B4D4B">
      <w:pPr>
        <w:widowControl w:val="0"/>
        <w:pBdr>
          <w:bottom w:val="single" w:sz="6" w:space="0"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Harriet MacMillan - McMaster University, Professor at the Department of Psychiatry, Behavioural Neurosciences and Pediatrics, Chedoke Health Chair in Child Psychiatry </w:t>
      </w:r>
    </w:p>
    <w:p w14:paraId="40B83500" w14:textId="77777777" w:rsidR="008B4D4B" w:rsidRDefault="008B4D4B" w:rsidP="008B4D4B">
      <w:pPr>
        <w:widowControl w:val="0"/>
        <w:pBdr>
          <w:bottom w:val="single" w:sz="6" w:space="0" w:color="auto"/>
        </w:pBdr>
        <w:autoSpaceDE w:val="0"/>
        <w:autoSpaceDN w:val="0"/>
        <w:adjustRightInd w:val="0"/>
        <w:spacing w:after="240"/>
        <w:jc w:val="both"/>
        <w:rPr>
          <w:rFonts w:ascii="Didot" w:hAnsi="Didot" w:cs="Didot"/>
          <w:b/>
          <w:bCs/>
          <w:color w:val="121212"/>
          <w:lang w:val="en-US"/>
        </w:rPr>
      </w:pPr>
    </w:p>
    <w:p w14:paraId="1C4CC17D" w14:textId="77777777" w:rsidR="000D6A2E" w:rsidRPr="008B4D4B" w:rsidRDefault="000D6A2E"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Recent large-scale epidemiological studies have shown that, contrary to what was believed until recently, rates of sexual abuse of girls – and boys – are higher in many low- and middle-income countries than in high-income countries. Speakers in this session will examine major strategies to address the issue in two different regions of the world – in Arab societies and in East Africa. They will also focus on human trafficking, a form of abuse which is particularly difficult to research.</w:t>
      </w:r>
    </w:p>
    <w:p w14:paraId="2CC1C7CA" w14:textId="77777777" w:rsidR="002B35BA" w:rsidRPr="006916FC" w:rsidRDefault="002B35BA"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04970E60" w14:textId="77777777" w:rsidR="002B35BA" w:rsidRPr="006916FC" w:rsidRDefault="002B35BA" w:rsidP="008A7E29">
      <w:pPr>
        <w:widowControl w:val="0"/>
        <w:autoSpaceDE w:val="0"/>
        <w:autoSpaceDN w:val="0"/>
        <w:adjustRightInd w:val="0"/>
        <w:spacing w:after="240"/>
        <w:jc w:val="both"/>
        <w:rPr>
          <w:rFonts w:ascii="Didot" w:hAnsi="Didot" w:cs="Didot"/>
          <w:b/>
          <w:color w:val="121212"/>
          <w:sz w:val="22"/>
          <w:szCs w:val="22"/>
          <w:lang w:val="en-US"/>
        </w:rPr>
      </w:pPr>
    </w:p>
    <w:p w14:paraId="686ED81C" w14:textId="77777777" w:rsidR="000D6A2E" w:rsidRPr="006916FC" w:rsidRDefault="000D6A2E" w:rsidP="008A7E29">
      <w:pPr>
        <w:pStyle w:val="Heading2"/>
        <w:jc w:val="both"/>
        <w:rPr>
          <w:rFonts w:ascii="Didot" w:hAnsi="Didot" w:cs="Didot"/>
          <w:color w:val="auto"/>
          <w:sz w:val="34"/>
          <w:szCs w:val="34"/>
        </w:rPr>
      </w:pPr>
      <w:bookmarkStart w:id="33" w:name="_Toc272639899"/>
      <w:bookmarkStart w:id="34" w:name="_Toc272645022"/>
      <w:r w:rsidRPr="006916FC">
        <w:rPr>
          <w:rFonts w:ascii="Didot" w:hAnsi="Didot" w:cs="Didot"/>
          <w:color w:val="auto"/>
          <w:sz w:val="34"/>
          <w:szCs w:val="34"/>
        </w:rPr>
        <w:t>Maha Almuneef</w:t>
      </w:r>
      <w:bookmarkEnd w:id="33"/>
      <w:bookmarkEnd w:id="34"/>
      <w:r w:rsidRPr="006916FC">
        <w:rPr>
          <w:rFonts w:ascii="Didot" w:hAnsi="Didot" w:cs="Didot"/>
          <w:color w:val="auto"/>
          <w:sz w:val="34"/>
          <w:szCs w:val="34"/>
        </w:rPr>
        <w:t xml:space="preserve"> </w:t>
      </w:r>
    </w:p>
    <w:p w14:paraId="7F658E46" w14:textId="77777777" w:rsidR="00362AAD" w:rsidRPr="006916FC" w:rsidRDefault="00362AAD" w:rsidP="008A7E29">
      <w:pPr>
        <w:jc w:val="both"/>
        <w:rPr>
          <w:rFonts w:ascii="Didot" w:hAnsi="Didot" w:cs="Didot"/>
          <w:b/>
          <w:color w:val="121212"/>
          <w:lang w:val="en-US"/>
        </w:rPr>
      </w:pPr>
    </w:p>
    <w:p w14:paraId="7610070B"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320F1DAA" w14:textId="77777777" w:rsidR="002B35BA" w:rsidRPr="006916FC" w:rsidRDefault="002B35BA" w:rsidP="008A7E29">
      <w:pPr>
        <w:jc w:val="both"/>
        <w:rPr>
          <w:rFonts w:ascii="Didot" w:hAnsi="Didot" w:cs="Didot"/>
          <w:b/>
          <w:color w:val="121212"/>
          <w:lang w:val="en-US"/>
        </w:rPr>
      </w:pPr>
    </w:p>
    <w:p w14:paraId="5FEB1553"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Maha Almuneef, MD, FAAP, a child protectionist and child rights advocate, is a pediatrician </w:t>
      </w:r>
      <w:proofErr w:type="gramStart"/>
      <w:r w:rsidRPr="008B4D4B">
        <w:rPr>
          <w:rFonts w:ascii="Didot" w:hAnsi="Didot" w:cs="Didot"/>
          <w:color w:val="121212"/>
          <w:sz w:val="22"/>
          <w:szCs w:val="22"/>
          <w:lang w:val="en-US"/>
        </w:rPr>
        <w:t>and  Consultant</w:t>
      </w:r>
      <w:proofErr w:type="gramEnd"/>
      <w:r w:rsidRPr="008B4D4B">
        <w:rPr>
          <w:rFonts w:ascii="Didot" w:hAnsi="Didot" w:cs="Didot"/>
          <w:color w:val="121212"/>
          <w:sz w:val="22"/>
          <w:szCs w:val="22"/>
          <w:lang w:val="en-US"/>
        </w:rPr>
        <w:t xml:space="preserve"> on Pediatrics Infectious Diseases, a Fellow of the American Academy of Pediatrics , involved in national implementation of CRC Article 19.  She is the founder and Executive Director of the National Family Safety Program in Saudi Arabia</w:t>
      </w:r>
      <w:proofErr w:type="gramStart"/>
      <w:r w:rsidRPr="008B4D4B">
        <w:rPr>
          <w:rFonts w:ascii="Didot" w:hAnsi="Didot" w:cs="Didot"/>
          <w:color w:val="121212"/>
          <w:sz w:val="22"/>
          <w:szCs w:val="22"/>
          <w:lang w:val="en-US"/>
        </w:rPr>
        <w:t>,  chairman</w:t>
      </w:r>
      <w:proofErr w:type="gramEnd"/>
      <w:r w:rsidRPr="008B4D4B">
        <w:rPr>
          <w:rFonts w:ascii="Didot" w:hAnsi="Didot" w:cs="Didot"/>
          <w:color w:val="121212"/>
          <w:sz w:val="22"/>
          <w:szCs w:val="22"/>
          <w:lang w:val="en-US"/>
        </w:rPr>
        <w:t xml:space="preserve"> of Suspected Child Abuse and Neglect Centre at King Abdulaziz Medical City.  Her achievements transcend locality, in 2011 she was appointed as a Councillor for the International Society for Prevention of Child Abuse and Neglect (ISPCAN), and in 2013 she was elected as the President of the Arab Professional society for Prevention of Violence Against Children (APSPVAC). Dr. Almuneef is also a consultant to the Saudi Parliament, Al-Shoura Council since 2009, and Associate Professor of Pediatrics in King Saud bin Abdulaziz University for Health Sciences.  She received many national and international awards for her work against child abuse and domestic violence.  She has many peer-reviewed publications in the field of pediatrics, infectious diseases, and child abuse.</w:t>
      </w:r>
    </w:p>
    <w:p w14:paraId="1ABF02E7" w14:textId="77777777" w:rsidR="003D6AB9" w:rsidRPr="006916FC" w:rsidRDefault="003D6AB9"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p>
    <w:p w14:paraId="06517603" w14:textId="77777777" w:rsidR="003D6AB9" w:rsidRPr="006916FC" w:rsidRDefault="003D6AB9" w:rsidP="008A7E29">
      <w:pPr>
        <w:widowControl w:val="0"/>
        <w:autoSpaceDE w:val="0"/>
        <w:autoSpaceDN w:val="0"/>
        <w:adjustRightInd w:val="0"/>
        <w:spacing w:after="240"/>
        <w:jc w:val="both"/>
        <w:rPr>
          <w:rFonts w:ascii="Didot" w:hAnsi="Didot" w:cs="Didot"/>
          <w:color w:val="121212"/>
          <w:sz w:val="22"/>
          <w:szCs w:val="22"/>
          <w:lang w:val="en-US"/>
        </w:rPr>
      </w:pPr>
    </w:p>
    <w:p w14:paraId="589DF362"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Abstract</w:t>
      </w:r>
    </w:p>
    <w:p w14:paraId="08F1E3B8" w14:textId="77777777" w:rsidR="002B35BA" w:rsidRPr="006916FC" w:rsidRDefault="002B35BA" w:rsidP="008A7E29">
      <w:pPr>
        <w:jc w:val="both"/>
        <w:rPr>
          <w:rFonts w:ascii="Didot" w:hAnsi="Didot" w:cs="Didot"/>
          <w:b/>
          <w:color w:val="121212"/>
          <w:lang w:val="en-US"/>
        </w:rPr>
      </w:pPr>
    </w:p>
    <w:p w14:paraId="3E8ED576" w14:textId="77777777" w:rsidR="000D6A2E" w:rsidRPr="006916FC" w:rsidRDefault="000D6A2E"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Addressing Child Abuse and Neglect in Arab Societies</w:t>
      </w:r>
    </w:p>
    <w:p w14:paraId="089FE810" w14:textId="77777777" w:rsidR="000D6A2E" w:rsidRPr="008B4D4B" w:rsidRDefault="000D6A2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In the Arab Societies, research about child maltreatment is scarce, and available research shows that CAN is common and underreported.  In the era of the Arabian spring and the current armed conflict in many Arab countries (Syria, Yemen, Egypt, Tunisia, Iraq, </w:t>
      </w:r>
      <w:proofErr w:type="gramStart"/>
      <w:r w:rsidRPr="008B4D4B">
        <w:rPr>
          <w:rFonts w:ascii="Didot" w:hAnsi="Didot" w:cs="Didot"/>
          <w:color w:val="121212"/>
          <w:sz w:val="22"/>
          <w:szCs w:val="22"/>
          <w:lang w:val="en-US"/>
        </w:rPr>
        <w:t>Gaza )</w:t>
      </w:r>
      <w:proofErr w:type="gramEnd"/>
      <w:r w:rsidRPr="008B4D4B">
        <w:rPr>
          <w:rFonts w:ascii="Didot" w:hAnsi="Didot" w:cs="Didot"/>
          <w:color w:val="121212"/>
          <w:sz w:val="22"/>
          <w:szCs w:val="22"/>
          <w:lang w:val="en-US"/>
        </w:rPr>
        <w:t xml:space="preserve">, many Arab children are living under difficult circumstances, many in refugee camps.    Different forms of child maltreatments are prevalent in different countries in the </w:t>
      </w:r>
      <w:proofErr w:type="gramStart"/>
      <w:r w:rsidRPr="008B4D4B">
        <w:rPr>
          <w:rFonts w:ascii="Didot" w:hAnsi="Didot" w:cs="Didot"/>
          <w:color w:val="121212"/>
          <w:sz w:val="22"/>
          <w:szCs w:val="22"/>
          <w:lang w:val="en-US"/>
        </w:rPr>
        <w:t>middle east</w:t>
      </w:r>
      <w:proofErr w:type="gramEnd"/>
      <w:r w:rsidRPr="008B4D4B">
        <w:rPr>
          <w:rFonts w:ascii="Didot" w:hAnsi="Didot" w:cs="Didot"/>
          <w:color w:val="121212"/>
          <w:sz w:val="22"/>
          <w:szCs w:val="22"/>
          <w:lang w:val="en-US"/>
        </w:rPr>
        <w:t xml:space="preserve"> and north Africa (MENA) region.  I will give a brief statistics on female genital mutilation (FGM), child labor, street children, trafficking, child marriage, and corporal punishment among different Arab countries.  I will present data on child maltreatment notably child sexual abuse from Saudi Arabia using the ISPCAN child abuse screening tool for children (ICAST-CH).  Data from the national Adverse Childhood Experience (ACE) study in Saudi Arabia will also be presented as a model for the region.    </w:t>
      </w:r>
    </w:p>
    <w:p w14:paraId="42B9BEF8" w14:textId="77777777" w:rsidR="002B35BA" w:rsidRPr="006916FC" w:rsidRDefault="002B35BA" w:rsidP="008A7E29">
      <w:pPr>
        <w:pBdr>
          <w:bottom w:val="single" w:sz="12" w:space="1" w:color="auto"/>
        </w:pBdr>
        <w:jc w:val="both"/>
        <w:rPr>
          <w:rFonts w:ascii="Didot" w:hAnsi="Didot" w:cs="Didot"/>
          <w:color w:val="121212"/>
          <w:sz w:val="22"/>
          <w:szCs w:val="22"/>
          <w:lang w:val="en-US"/>
        </w:rPr>
      </w:pPr>
    </w:p>
    <w:p w14:paraId="2EAAD5DA" w14:textId="77777777" w:rsidR="002B35BA" w:rsidRPr="006916FC" w:rsidRDefault="002B35BA" w:rsidP="008A7E29">
      <w:pPr>
        <w:jc w:val="both"/>
        <w:rPr>
          <w:rFonts w:ascii="Didot" w:hAnsi="Didot" w:cs="Didot"/>
          <w:color w:val="121212"/>
          <w:sz w:val="22"/>
          <w:szCs w:val="22"/>
          <w:lang w:val="en-US"/>
        </w:rPr>
      </w:pPr>
    </w:p>
    <w:p w14:paraId="6A393EA1" w14:textId="31249BE7" w:rsidR="002B35BA" w:rsidRPr="006916FC" w:rsidRDefault="002B35BA" w:rsidP="008A7E29">
      <w:pPr>
        <w:jc w:val="both"/>
        <w:rPr>
          <w:rFonts w:ascii="Didot" w:hAnsi="Didot" w:cs="Didot"/>
          <w:b/>
          <w:color w:val="121212"/>
          <w:sz w:val="22"/>
          <w:szCs w:val="22"/>
          <w:lang w:val="en-US"/>
        </w:rPr>
      </w:pPr>
      <w:r w:rsidRPr="006916FC">
        <w:rPr>
          <w:rFonts w:ascii="Didot" w:hAnsi="Didot" w:cs="Didot"/>
          <w:b/>
          <w:color w:val="121212"/>
          <w:sz w:val="22"/>
          <w:szCs w:val="22"/>
          <w:lang w:val="en-US"/>
        </w:rPr>
        <w:t>Summary</w:t>
      </w:r>
    </w:p>
    <w:p w14:paraId="77C137FD" w14:textId="77777777" w:rsidR="003D6AB9" w:rsidRPr="006916FC" w:rsidRDefault="003D6AB9" w:rsidP="008A7E29">
      <w:pPr>
        <w:jc w:val="both"/>
        <w:rPr>
          <w:rFonts w:ascii="Didot" w:hAnsi="Didot" w:cs="Didot"/>
          <w:b/>
          <w:color w:val="121212"/>
          <w:sz w:val="22"/>
          <w:szCs w:val="22"/>
          <w:lang w:val="en-US"/>
        </w:rPr>
      </w:pPr>
    </w:p>
    <w:p w14:paraId="40030236" w14:textId="77777777" w:rsidR="003D6AB9" w:rsidRPr="006916FC" w:rsidRDefault="003D6AB9"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Addressing Child Abuse and Neglect in Arab Societies</w:t>
      </w:r>
    </w:p>
    <w:p w14:paraId="17EB9365" w14:textId="77777777" w:rsidR="00DE5FB3" w:rsidRPr="006916FC" w:rsidRDefault="00DE5FB3" w:rsidP="008A7E29">
      <w:pPr>
        <w:widowControl w:val="0"/>
        <w:autoSpaceDE w:val="0"/>
        <w:autoSpaceDN w:val="0"/>
        <w:adjustRightInd w:val="0"/>
        <w:jc w:val="both"/>
        <w:rPr>
          <w:rFonts w:ascii="Didot" w:hAnsi="Didot" w:cs="Didot"/>
          <w:b/>
          <w:sz w:val="22"/>
          <w:szCs w:val="22"/>
          <w:lang w:val="en-US"/>
        </w:rPr>
        <w:sectPr w:rsidR="00DE5FB3" w:rsidRPr="006916FC" w:rsidSect="003D6AB9">
          <w:type w:val="continuous"/>
          <w:pgSz w:w="11900" w:h="16840"/>
          <w:pgMar w:top="1440" w:right="1800" w:bottom="1440" w:left="1800" w:header="708" w:footer="708" w:gutter="0"/>
          <w:pgNumType w:start="1"/>
          <w:cols w:space="708"/>
          <w:docGrid w:linePitch="360"/>
        </w:sectPr>
      </w:pPr>
    </w:p>
    <w:p w14:paraId="793A4C38" w14:textId="77777777" w:rsidR="00DE5FB3" w:rsidRPr="006916FC" w:rsidRDefault="00DE5FB3" w:rsidP="008A7E29">
      <w:pPr>
        <w:widowControl w:val="0"/>
        <w:autoSpaceDE w:val="0"/>
        <w:autoSpaceDN w:val="0"/>
        <w:adjustRightInd w:val="0"/>
        <w:jc w:val="both"/>
        <w:rPr>
          <w:rFonts w:ascii="Didot" w:hAnsi="Didot" w:cs="Didot"/>
          <w:b/>
          <w:lang w:val="en-US"/>
        </w:rPr>
      </w:pPr>
    </w:p>
    <w:p w14:paraId="4C8AE785" w14:textId="77777777" w:rsidR="00DE5FB3" w:rsidRPr="008B4D4B" w:rsidRDefault="00DE5FB3"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t>Introduction</w:t>
      </w:r>
    </w:p>
    <w:p w14:paraId="07E0B7CE" w14:textId="77777777" w:rsidR="00DE5FB3" w:rsidRPr="008B4D4B" w:rsidRDefault="00DE5FB3" w:rsidP="008A7E29">
      <w:pPr>
        <w:widowControl w:val="0"/>
        <w:autoSpaceDE w:val="0"/>
        <w:autoSpaceDN w:val="0"/>
        <w:adjustRightInd w:val="0"/>
        <w:jc w:val="both"/>
        <w:rPr>
          <w:rFonts w:ascii="Didot" w:hAnsi="Didot" w:cs="Didot"/>
          <w:b/>
          <w:sz w:val="22"/>
          <w:szCs w:val="22"/>
          <w:lang w:val="en-US"/>
        </w:rPr>
      </w:pPr>
    </w:p>
    <w:p w14:paraId="52F80F2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 As a social problem, child abuse</w:t>
      </w:r>
      <w:r w:rsidR="0070643D" w:rsidRPr="008B4D4B">
        <w:rPr>
          <w:rFonts w:ascii="Didot" w:hAnsi="Didot" w:cs="Didot"/>
          <w:sz w:val="22"/>
          <w:szCs w:val="22"/>
          <w:lang w:val="en-US"/>
        </w:rPr>
        <w:t xml:space="preserve"> and neglect (CAN) receive much </w:t>
      </w:r>
      <w:r w:rsidRPr="008B4D4B">
        <w:rPr>
          <w:rFonts w:ascii="Didot" w:hAnsi="Didot" w:cs="Didot"/>
          <w:sz w:val="22"/>
          <w:szCs w:val="22"/>
          <w:lang w:val="en-US"/>
        </w:rPr>
        <w:t>attention from the medical practitioners, social workers, researchers, and policy makers. Early</w:t>
      </w:r>
      <w:r w:rsidR="0070643D" w:rsidRPr="008B4D4B">
        <w:rPr>
          <w:rFonts w:ascii="Didot" w:hAnsi="Didot" w:cs="Didot"/>
          <w:sz w:val="22"/>
          <w:szCs w:val="22"/>
          <w:lang w:val="en-US"/>
        </w:rPr>
        <w:t xml:space="preserve"> </w:t>
      </w:r>
      <w:r w:rsidRPr="008B4D4B">
        <w:rPr>
          <w:rFonts w:ascii="Didot" w:hAnsi="Didot" w:cs="Didot"/>
          <w:sz w:val="22"/>
          <w:szCs w:val="22"/>
          <w:lang w:val="en-US"/>
        </w:rPr>
        <w:t>marriage, polygamy, divorce, family size, poverty, and parental education are the primary risk</w:t>
      </w:r>
      <w:r w:rsidR="0070643D" w:rsidRPr="008B4D4B">
        <w:rPr>
          <w:rFonts w:ascii="Didot" w:hAnsi="Didot" w:cs="Didot"/>
          <w:sz w:val="22"/>
          <w:szCs w:val="22"/>
          <w:lang w:val="en-US"/>
        </w:rPr>
        <w:t xml:space="preserve"> </w:t>
      </w:r>
      <w:r w:rsidRPr="008B4D4B">
        <w:rPr>
          <w:rFonts w:ascii="Didot" w:hAnsi="Didot" w:cs="Didot"/>
          <w:sz w:val="22"/>
          <w:szCs w:val="22"/>
          <w:lang w:val="en-US"/>
        </w:rPr>
        <w:t>factors for CAN. According to the UN Secretary-General’s report on violence on children, most</w:t>
      </w:r>
      <w:r w:rsidR="0070643D" w:rsidRPr="008B4D4B">
        <w:rPr>
          <w:rFonts w:ascii="Didot" w:hAnsi="Didot" w:cs="Didot"/>
          <w:sz w:val="22"/>
          <w:szCs w:val="22"/>
          <w:lang w:val="en-US"/>
        </w:rPr>
        <w:t xml:space="preserve"> </w:t>
      </w:r>
      <w:r w:rsidRPr="008B4D4B">
        <w:rPr>
          <w:rFonts w:ascii="Didot" w:hAnsi="Didot" w:cs="Didot"/>
          <w:sz w:val="22"/>
          <w:szCs w:val="22"/>
          <w:lang w:val="en-US"/>
        </w:rPr>
        <w:t>children aged 0-14 years who have experienced violence experienced it at home, inflicted by their</w:t>
      </w:r>
      <w:r w:rsidR="0070643D" w:rsidRPr="008B4D4B">
        <w:rPr>
          <w:rFonts w:ascii="Didot" w:hAnsi="Didot" w:cs="Didot"/>
          <w:sz w:val="22"/>
          <w:szCs w:val="22"/>
          <w:lang w:val="en-US"/>
        </w:rPr>
        <w:t xml:space="preserve"> </w:t>
      </w:r>
      <w:r w:rsidRPr="008B4D4B">
        <w:rPr>
          <w:rFonts w:ascii="Didot" w:hAnsi="Didot" w:cs="Didot"/>
          <w:sz w:val="22"/>
          <w:szCs w:val="22"/>
          <w:lang w:val="en-US"/>
        </w:rPr>
        <w:t>parents, caregivers, and other family members. Violence threatens children’s health and</w:t>
      </w:r>
      <w:r w:rsidR="0070643D" w:rsidRPr="008B4D4B">
        <w:rPr>
          <w:rFonts w:ascii="Didot" w:hAnsi="Didot" w:cs="Didot"/>
          <w:sz w:val="22"/>
          <w:szCs w:val="22"/>
          <w:lang w:val="en-US"/>
        </w:rPr>
        <w:t xml:space="preserve"> </w:t>
      </w:r>
      <w:r w:rsidRPr="008B4D4B">
        <w:rPr>
          <w:rFonts w:ascii="Didot" w:hAnsi="Didot" w:cs="Didot"/>
          <w:sz w:val="22"/>
          <w:szCs w:val="22"/>
          <w:lang w:val="en-US"/>
        </w:rPr>
        <w:t>development and can last into adulthood. It also increases the risk of further victimization and</w:t>
      </w:r>
      <w:r w:rsidR="0070643D" w:rsidRPr="008B4D4B">
        <w:rPr>
          <w:rFonts w:ascii="Didot" w:hAnsi="Didot" w:cs="Didot"/>
          <w:sz w:val="22"/>
          <w:szCs w:val="22"/>
          <w:lang w:val="en-US"/>
        </w:rPr>
        <w:t xml:space="preserve"> </w:t>
      </w:r>
      <w:r w:rsidRPr="008B4D4B">
        <w:rPr>
          <w:rFonts w:ascii="Didot" w:hAnsi="Didot" w:cs="Didot"/>
          <w:sz w:val="22"/>
          <w:szCs w:val="22"/>
          <w:lang w:val="en-US"/>
        </w:rPr>
        <w:t>perpetration of violence.1</w:t>
      </w:r>
    </w:p>
    <w:p w14:paraId="116B6481"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5FFB67F4"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In the Arab Societies, research about child maltreatment is scarc</w:t>
      </w:r>
      <w:r w:rsidR="0070643D" w:rsidRPr="008B4D4B">
        <w:rPr>
          <w:rFonts w:ascii="Didot" w:hAnsi="Didot" w:cs="Didot"/>
          <w:sz w:val="22"/>
          <w:szCs w:val="22"/>
          <w:lang w:val="en-US"/>
        </w:rPr>
        <w:t xml:space="preserve">e, and available research shows </w:t>
      </w:r>
      <w:r w:rsidRPr="008B4D4B">
        <w:rPr>
          <w:rFonts w:ascii="Didot" w:hAnsi="Didot" w:cs="Didot"/>
          <w:sz w:val="22"/>
          <w:szCs w:val="22"/>
          <w:lang w:val="en-US"/>
        </w:rPr>
        <w:t>that CAN is common and underreported.2 Yousef, Attia, and Kamel (1998) investigated family</w:t>
      </w:r>
      <w:r w:rsidR="0070643D" w:rsidRPr="008B4D4B">
        <w:rPr>
          <w:rFonts w:ascii="Didot" w:hAnsi="Didot" w:cs="Didot"/>
          <w:sz w:val="22"/>
          <w:szCs w:val="22"/>
          <w:lang w:val="en-US"/>
        </w:rPr>
        <w:t xml:space="preserve"> </w:t>
      </w:r>
      <w:r w:rsidRPr="008B4D4B">
        <w:rPr>
          <w:rFonts w:ascii="Didot" w:hAnsi="Didot" w:cs="Didot"/>
          <w:sz w:val="22"/>
          <w:szCs w:val="22"/>
          <w:lang w:val="en-US"/>
        </w:rPr>
        <w:t>violence among preparatory and secondary school children in Egypt and provided extensive data on</w:t>
      </w:r>
      <w:r w:rsidR="0070643D" w:rsidRPr="008B4D4B">
        <w:rPr>
          <w:rFonts w:ascii="Didot" w:hAnsi="Didot" w:cs="Didot"/>
          <w:sz w:val="22"/>
          <w:szCs w:val="22"/>
          <w:lang w:val="en-US"/>
        </w:rPr>
        <w:t xml:space="preserve"> </w:t>
      </w:r>
      <w:r w:rsidRPr="008B4D4B">
        <w:rPr>
          <w:rFonts w:ascii="Didot" w:hAnsi="Didot" w:cs="Didot"/>
          <w:sz w:val="22"/>
          <w:szCs w:val="22"/>
          <w:lang w:val="en-US"/>
        </w:rPr>
        <w:t>the rates and some correlates of corporal punishment.3 Shalhoub-Kevorkian (1999) found that, out of</w:t>
      </w:r>
      <w:r w:rsidR="0070643D" w:rsidRPr="008B4D4B">
        <w:rPr>
          <w:rFonts w:ascii="Didot" w:hAnsi="Didot" w:cs="Didot"/>
          <w:sz w:val="22"/>
          <w:szCs w:val="22"/>
          <w:lang w:val="en-US"/>
        </w:rPr>
        <w:t xml:space="preserve"> </w:t>
      </w:r>
      <w:r w:rsidRPr="008B4D4B">
        <w:rPr>
          <w:rFonts w:ascii="Didot" w:hAnsi="Didot" w:cs="Didot"/>
          <w:sz w:val="22"/>
          <w:szCs w:val="22"/>
          <w:lang w:val="en-US"/>
        </w:rPr>
        <w:t>38 cases of sexually abused Palestinian girls between 2 and 19 years, the majority was between 12-19 years.4 Although child maltreatment practices in the Arabian Peninsula have been described in</w:t>
      </w:r>
      <w:r w:rsidR="00AE2E9C" w:rsidRPr="008B4D4B">
        <w:rPr>
          <w:rFonts w:ascii="Didot" w:hAnsi="Didot" w:cs="Didot"/>
          <w:sz w:val="22"/>
          <w:szCs w:val="22"/>
          <w:lang w:val="en-US"/>
        </w:rPr>
        <w:t xml:space="preserve"> </w:t>
      </w:r>
      <w:r w:rsidRPr="008B4D4B">
        <w:rPr>
          <w:rFonts w:ascii="Didot" w:hAnsi="Didot" w:cs="Didot"/>
          <w:sz w:val="22"/>
          <w:szCs w:val="22"/>
          <w:lang w:val="en-US"/>
        </w:rPr>
        <w:t>historical anecdotes and Islamic literature, it was not until 1990 that th</w:t>
      </w:r>
      <w:r w:rsidR="00AE2E9C" w:rsidRPr="008B4D4B">
        <w:rPr>
          <w:rFonts w:ascii="Didot" w:hAnsi="Didot" w:cs="Didot"/>
          <w:sz w:val="22"/>
          <w:szCs w:val="22"/>
          <w:lang w:val="en-US"/>
        </w:rPr>
        <w:t xml:space="preserve">e first case reports from Saudi </w:t>
      </w:r>
      <w:r w:rsidRPr="008B4D4B">
        <w:rPr>
          <w:rFonts w:ascii="Didot" w:hAnsi="Didot" w:cs="Didot"/>
          <w:sz w:val="22"/>
          <w:szCs w:val="22"/>
          <w:lang w:val="en-US"/>
        </w:rPr>
        <w:t>Arabia was published in medical literature.5,6 While hospitals have recognized an increasing number</w:t>
      </w:r>
      <w:r w:rsidR="00AE2E9C" w:rsidRPr="008B4D4B">
        <w:rPr>
          <w:rFonts w:ascii="Didot" w:hAnsi="Didot" w:cs="Didot"/>
          <w:sz w:val="22"/>
          <w:szCs w:val="22"/>
          <w:lang w:val="en-US"/>
        </w:rPr>
        <w:t xml:space="preserve"> </w:t>
      </w:r>
      <w:r w:rsidRPr="008B4D4B">
        <w:rPr>
          <w:rFonts w:ascii="Didot" w:hAnsi="Didot" w:cs="Didot"/>
          <w:sz w:val="22"/>
          <w:szCs w:val="22"/>
          <w:lang w:val="en-US"/>
        </w:rPr>
        <w:t>of child maltreatment cases, the magnitude of the problem in Saudi Arabia has been unknown due to</w:t>
      </w:r>
      <w:r w:rsidR="00AE2E9C" w:rsidRPr="008B4D4B">
        <w:rPr>
          <w:rFonts w:ascii="Didot" w:hAnsi="Didot" w:cs="Didot"/>
          <w:sz w:val="22"/>
          <w:szCs w:val="22"/>
          <w:lang w:val="en-US"/>
        </w:rPr>
        <w:t xml:space="preserve"> </w:t>
      </w:r>
      <w:r w:rsidRPr="008B4D4B">
        <w:rPr>
          <w:rFonts w:ascii="Didot" w:hAnsi="Didot" w:cs="Didot"/>
          <w:sz w:val="22"/>
          <w:szCs w:val="22"/>
          <w:lang w:val="en-US"/>
        </w:rPr>
        <w:t>the lack of population-based statistics. Government data regarding reports are regarded as unreliable</w:t>
      </w:r>
      <w:r w:rsidR="00AE2E9C" w:rsidRPr="008B4D4B">
        <w:rPr>
          <w:rFonts w:ascii="Didot" w:hAnsi="Didot" w:cs="Didot"/>
          <w:sz w:val="22"/>
          <w:szCs w:val="22"/>
          <w:lang w:val="en-US"/>
        </w:rPr>
        <w:t xml:space="preserve"> </w:t>
      </w:r>
      <w:r w:rsidRPr="008B4D4B">
        <w:rPr>
          <w:rFonts w:ascii="Didot" w:hAnsi="Didot" w:cs="Didot"/>
          <w:sz w:val="22"/>
          <w:szCs w:val="22"/>
          <w:lang w:val="en-US"/>
        </w:rPr>
        <w:t xml:space="preserve">estimates due to the widespread inattention to mandatory reporting laws </w:t>
      </w:r>
      <w:r w:rsidRPr="008B4D4B">
        <w:rPr>
          <w:rFonts w:ascii="Didot" w:hAnsi="Didot" w:cs="Didot"/>
          <w:sz w:val="22"/>
          <w:szCs w:val="22"/>
          <w:lang w:val="en-US"/>
        </w:rPr>
        <w:lastRenderedPageBreak/>
        <w:t>and data quality.7 In</w:t>
      </w:r>
      <w:r w:rsidR="00AE2E9C" w:rsidRPr="008B4D4B">
        <w:rPr>
          <w:rFonts w:ascii="Didot" w:hAnsi="Didot" w:cs="Didot"/>
          <w:sz w:val="22"/>
          <w:szCs w:val="22"/>
          <w:lang w:val="en-US"/>
        </w:rPr>
        <w:t xml:space="preserve"> </w:t>
      </w:r>
      <w:r w:rsidRPr="008B4D4B">
        <w:rPr>
          <w:rFonts w:ascii="Didot" w:hAnsi="Didot" w:cs="Didot"/>
          <w:sz w:val="22"/>
          <w:szCs w:val="22"/>
          <w:lang w:val="en-US"/>
        </w:rPr>
        <w:t>addition, as official records include reports of severe cases requiring professional assistance, they are</w:t>
      </w:r>
      <w:r w:rsidR="00DE5FB3" w:rsidRPr="008B4D4B">
        <w:rPr>
          <w:rFonts w:ascii="Didot" w:hAnsi="Didot" w:cs="Didot"/>
          <w:sz w:val="22"/>
          <w:szCs w:val="22"/>
          <w:lang w:val="en-US"/>
        </w:rPr>
        <w:t xml:space="preserve"> </w:t>
      </w:r>
      <w:r w:rsidRPr="008B4D4B">
        <w:rPr>
          <w:rFonts w:ascii="Didot" w:hAnsi="Didot" w:cs="Didot"/>
          <w:sz w:val="22"/>
          <w:szCs w:val="22"/>
          <w:lang w:val="en-US"/>
        </w:rPr>
        <w:t>not suitable for estimating the incidence or prevalence of C</w:t>
      </w:r>
      <w:r w:rsidR="00AE2E9C" w:rsidRPr="008B4D4B">
        <w:rPr>
          <w:rFonts w:ascii="Didot" w:hAnsi="Didot" w:cs="Didot"/>
          <w:sz w:val="22"/>
          <w:szCs w:val="22"/>
          <w:lang w:val="en-US"/>
        </w:rPr>
        <w:t xml:space="preserve">AN practices. Estimation of CAN </w:t>
      </w:r>
      <w:r w:rsidRPr="008B4D4B">
        <w:rPr>
          <w:rFonts w:ascii="Didot" w:hAnsi="Didot" w:cs="Didot"/>
          <w:sz w:val="22"/>
          <w:szCs w:val="22"/>
          <w:lang w:val="en-US"/>
        </w:rPr>
        <w:t>occurrence using child or parent self-report of parenting practices help define the magnitude of the</w:t>
      </w:r>
      <w:r w:rsidR="00AE2E9C" w:rsidRPr="008B4D4B">
        <w:rPr>
          <w:rFonts w:ascii="Didot" w:hAnsi="Didot" w:cs="Didot"/>
          <w:sz w:val="22"/>
          <w:szCs w:val="22"/>
          <w:lang w:val="en-US"/>
        </w:rPr>
        <w:t xml:space="preserve"> </w:t>
      </w:r>
      <w:r w:rsidRPr="008B4D4B">
        <w:rPr>
          <w:rFonts w:ascii="Didot" w:hAnsi="Didot" w:cs="Didot"/>
          <w:sz w:val="22"/>
          <w:szCs w:val="22"/>
          <w:lang w:val="en-US"/>
        </w:rPr>
        <w:t>problem, set priorities and comparison benchmarks, develop national prevention programs and</w:t>
      </w:r>
      <w:r w:rsidR="00AE2E9C" w:rsidRPr="008B4D4B">
        <w:rPr>
          <w:rFonts w:ascii="Didot" w:hAnsi="Didot" w:cs="Didot"/>
          <w:sz w:val="22"/>
          <w:szCs w:val="22"/>
          <w:lang w:val="en-US"/>
        </w:rPr>
        <w:t xml:space="preserve"> </w:t>
      </w:r>
      <w:r w:rsidRPr="008B4D4B">
        <w:rPr>
          <w:rFonts w:ascii="Didot" w:hAnsi="Didot" w:cs="Didot"/>
          <w:sz w:val="22"/>
          <w:szCs w:val="22"/>
          <w:lang w:val="en-US"/>
        </w:rPr>
        <w:t>allocate funds.8</w:t>
      </w:r>
    </w:p>
    <w:p w14:paraId="4ACFD33B"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21E7653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Forms of CAN in the Arab Societies include:</w:t>
      </w:r>
    </w:p>
    <w:p w14:paraId="452390BA"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007418EC" w14:textId="77777777" w:rsidR="00DE5FB3" w:rsidRPr="008B4D4B" w:rsidRDefault="00540C57"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t>Female Genital Mutilation (FGM):</w:t>
      </w:r>
    </w:p>
    <w:p w14:paraId="00ECD80D"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192914B0"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Around the world, 125 mill</w:t>
      </w:r>
      <w:r w:rsidR="00AE2E9C" w:rsidRPr="008B4D4B">
        <w:rPr>
          <w:rFonts w:ascii="Didot" w:hAnsi="Didot" w:cs="Didot"/>
          <w:sz w:val="22"/>
          <w:szCs w:val="22"/>
          <w:lang w:val="en-US"/>
        </w:rPr>
        <w:t xml:space="preserve">ion girls and women are getting </w:t>
      </w:r>
      <w:r w:rsidRPr="008B4D4B">
        <w:rPr>
          <w:rFonts w:ascii="Didot" w:hAnsi="Didot" w:cs="Didot"/>
          <w:sz w:val="22"/>
          <w:szCs w:val="22"/>
          <w:lang w:val="en-US"/>
        </w:rPr>
        <w:t xml:space="preserve">genital </w:t>
      </w:r>
      <w:proofErr w:type="gramStart"/>
      <w:r w:rsidRPr="008B4D4B">
        <w:rPr>
          <w:rFonts w:ascii="Didot" w:hAnsi="Didot" w:cs="Didot"/>
          <w:sz w:val="22"/>
          <w:szCs w:val="22"/>
          <w:lang w:val="en-US"/>
        </w:rPr>
        <w:t>mutilation which</w:t>
      </w:r>
      <w:proofErr w:type="gramEnd"/>
      <w:r w:rsidRPr="008B4D4B">
        <w:rPr>
          <w:rFonts w:ascii="Didot" w:hAnsi="Didot" w:cs="Didot"/>
          <w:sz w:val="22"/>
          <w:szCs w:val="22"/>
          <w:lang w:val="en-US"/>
        </w:rPr>
        <w:t xml:space="preserve"> is considered as a sexual abuse and violence against women. It has been</w:t>
      </w:r>
      <w:r w:rsidR="00AE2E9C" w:rsidRPr="008B4D4B">
        <w:rPr>
          <w:rFonts w:ascii="Didot" w:hAnsi="Didot" w:cs="Didot"/>
          <w:sz w:val="22"/>
          <w:szCs w:val="22"/>
          <w:lang w:val="en-US"/>
        </w:rPr>
        <w:t xml:space="preserve"> </w:t>
      </w:r>
      <w:r w:rsidRPr="008B4D4B">
        <w:rPr>
          <w:rFonts w:ascii="Didot" w:hAnsi="Didot" w:cs="Didot"/>
          <w:sz w:val="22"/>
          <w:szCs w:val="22"/>
          <w:lang w:val="en-US"/>
        </w:rPr>
        <w:t>restricted in most of the countries in the world in which it occurs. In African countries, it is mostly</w:t>
      </w:r>
      <w:r w:rsidR="00AE2E9C" w:rsidRPr="008B4D4B">
        <w:rPr>
          <w:rFonts w:ascii="Didot" w:hAnsi="Didot" w:cs="Didot"/>
          <w:sz w:val="22"/>
          <w:szCs w:val="22"/>
          <w:lang w:val="en-US"/>
        </w:rPr>
        <w:t xml:space="preserve"> </w:t>
      </w:r>
      <w:r w:rsidRPr="008B4D4B">
        <w:rPr>
          <w:rFonts w:ascii="Didot" w:hAnsi="Didot" w:cs="Didot"/>
          <w:sz w:val="22"/>
          <w:szCs w:val="22"/>
          <w:lang w:val="en-US"/>
        </w:rPr>
        <w:t>practiced in Egypt (91%</w:t>
      </w:r>
      <w:proofErr w:type="gramStart"/>
      <w:r w:rsidRPr="008B4D4B">
        <w:rPr>
          <w:rFonts w:ascii="Didot" w:hAnsi="Didot" w:cs="Didot"/>
          <w:sz w:val="22"/>
          <w:szCs w:val="22"/>
          <w:lang w:val="en-US"/>
        </w:rPr>
        <w:t>) which</w:t>
      </w:r>
      <w:proofErr w:type="gramEnd"/>
      <w:r w:rsidRPr="008B4D4B">
        <w:rPr>
          <w:rFonts w:ascii="Didot" w:hAnsi="Didot" w:cs="Didot"/>
          <w:sz w:val="22"/>
          <w:szCs w:val="22"/>
          <w:lang w:val="en-US"/>
        </w:rPr>
        <w:t xml:space="preserve"> has the highest percentage among the Arab countries. In 50% of the</w:t>
      </w:r>
      <w:r w:rsidR="00AE2E9C" w:rsidRPr="008B4D4B">
        <w:rPr>
          <w:rFonts w:ascii="Didot" w:hAnsi="Didot" w:cs="Didot"/>
          <w:sz w:val="22"/>
          <w:szCs w:val="22"/>
          <w:lang w:val="en-US"/>
        </w:rPr>
        <w:t xml:space="preserve"> </w:t>
      </w:r>
      <w:r w:rsidRPr="008B4D4B">
        <w:rPr>
          <w:rFonts w:ascii="Didot" w:hAnsi="Didot" w:cs="Didot"/>
          <w:sz w:val="22"/>
          <w:szCs w:val="22"/>
          <w:lang w:val="en-US"/>
        </w:rPr>
        <w:t>Arab countries, most girls were circumcised before the age of 5 years and in rest of the countries, it</w:t>
      </w:r>
      <w:r w:rsidR="00AE2E9C" w:rsidRPr="008B4D4B">
        <w:rPr>
          <w:rFonts w:ascii="Didot" w:hAnsi="Didot" w:cs="Didot"/>
          <w:sz w:val="22"/>
          <w:szCs w:val="22"/>
          <w:lang w:val="en-US"/>
        </w:rPr>
        <w:t xml:space="preserve"> </w:t>
      </w:r>
      <w:r w:rsidRPr="008B4D4B">
        <w:rPr>
          <w:rFonts w:ascii="Didot" w:hAnsi="Didot" w:cs="Didot"/>
          <w:sz w:val="22"/>
          <w:szCs w:val="22"/>
          <w:lang w:val="en-US"/>
        </w:rPr>
        <w:t>occurs between the age of 5 and 14 years. Traditional circumcisers perform this procedure in most of</w:t>
      </w:r>
      <w:r w:rsidR="00AE2E9C" w:rsidRPr="008B4D4B">
        <w:rPr>
          <w:rFonts w:ascii="Didot" w:hAnsi="Didot" w:cs="Didot"/>
          <w:sz w:val="22"/>
          <w:szCs w:val="22"/>
          <w:lang w:val="en-US"/>
        </w:rPr>
        <w:t xml:space="preserve"> </w:t>
      </w:r>
      <w:r w:rsidRPr="008B4D4B">
        <w:rPr>
          <w:rFonts w:ascii="Didot" w:hAnsi="Didot" w:cs="Didot"/>
          <w:sz w:val="22"/>
          <w:szCs w:val="22"/>
          <w:lang w:val="en-US"/>
        </w:rPr>
        <w:t>the countries.9</w:t>
      </w:r>
    </w:p>
    <w:p w14:paraId="580B581F"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464086F3" w14:textId="77777777" w:rsidR="00DE5FB3" w:rsidRPr="008B4D4B" w:rsidRDefault="00540C57"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t xml:space="preserve">Corporal Punishment: </w:t>
      </w:r>
    </w:p>
    <w:p w14:paraId="3485E6CE"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0FF42E1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In 2005-2006, according to UNICEF, 72% of</w:t>
      </w:r>
      <w:r w:rsidR="00AE2E9C" w:rsidRPr="008B4D4B">
        <w:rPr>
          <w:rFonts w:ascii="Didot" w:hAnsi="Didot" w:cs="Didot"/>
          <w:sz w:val="22"/>
          <w:szCs w:val="22"/>
          <w:lang w:val="en-US"/>
        </w:rPr>
        <w:t xml:space="preserve"> children between the age of 2- </w:t>
      </w:r>
      <w:r w:rsidRPr="008B4D4B">
        <w:rPr>
          <w:rFonts w:ascii="Didot" w:hAnsi="Didot" w:cs="Didot"/>
          <w:sz w:val="22"/>
          <w:szCs w:val="22"/>
          <w:lang w:val="en-US"/>
        </w:rPr>
        <w:t>14 years experienced minor physical punishment at home in Algeria.10 In Egypt, ‘severe physical</w:t>
      </w:r>
      <w:r w:rsidR="00AE2E9C" w:rsidRPr="008B4D4B">
        <w:rPr>
          <w:rFonts w:ascii="Didot" w:hAnsi="Didot" w:cs="Didot"/>
          <w:sz w:val="22"/>
          <w:szCs w:val="22"/>
          <w:lang w:val="en-US"/>
        </w:rPr>
        <w:t xml:space="preserve"> </w:t>
      </w:r>
      <w:r w:rsidRPr="008B4D4B">
        <w:rPr>
          <w:rFonts w:ascii="Didot" w:hAnsi="Didot" w:cs="Didot"/>
          <w:sz w:val="22"/>
          <w:szCs w:val="22"/>
          <w:lang w:val="en-US"/>
        </w:rPr>
        <w:t>punishment’ included hitting the child with an object not on the buttocks (26%) and beating (25%);</w:t>
      </w:r>
      <w:r w:rsidR="00AE2E9C" w:rsidRPr="008B4D4B">
        <w:rPr>
          <w:rFonts w:ascii="Didot" w:hAnsi="Didot" w:cs="Didot"/>
          <w:sz w:val="22"/>
          <w:szCs w:val="22"/>
          <w:lang w:val="en-US"/>
        </w:rPr>
        <w:t xml:space="preserve"> </w:t>
      </w:r>
      <w:r w:rsidRPr="008B4D4B">
        <w:rPr>
          <w:rFonts w:ascii="Didot" w:hAnsi="Didot" w:cs="Didot"/>
          <w:sz w:val="22"/>
          <w:szCs w:val="22"/>
          <w:lang w:val="en-US"/>
        </w:rPr>
        <w:t>‘moderate physical punishment’ included shaking (59%), pinching (45%) and slapping the face or</w:t>
      </w:r>
      <w:r w:rsidR="00AE2E9C" w:rsidRPr="008B4D4B">
        <w:rPr>
          <w:rFonts w:ascii="Didot" w:hAnsi="Didot" w:cs="Didot"/>
          <w:sz w:val="22"/>
          <w:szCs w:val="22"/>
          <w:lang w:val="en-US"/>
        </w:rPr>
        <w:t xml:space="preserve"> </w:t>
      </w:r>
      <w:r w:rsidRPr="008B4D4B">
        <w:rPr>
          <w:rFonts w:ascii="Didot" w:hAnsi="Didot" w:cs="Didot"/>
          <w:sz w:val="22"/>
          <w:szCs w:val="22"/>
          <w:lang w:val="en-US"/>
        </w:rPr>
        <w:t>head (41%)</w:t>
      </w:r>
      <w:proofErr w:type="gramStart"/>
      <w:r w:rsidRPr="008B4D4B">
        <w:rPr>
          <w:rFonts w:ascii="Didot" w:hAnsi="Didot" w:cs="Didot"/>
          <w:sz w:val="22"/>
          <w:szCs w:val="22"/>
          <w:lang w:val="en-US"/>
        </w:rPr>
        <w:t>.11</w:t>
      </w:r>
      <w:proofErr w:type="gramEnd"/>
      <w:r w:rsidRPr="008B4D4B">
        <w:rPr>
          <w:rFonts w:ascii="Didot" w:hAnsi="Didot" w:cs="Didot"/>
          <w:sz w:val="22"/>
          <w:szCs w:val="22"/>
          <w:lang w:val="en-US"/>
        </w:rPr>
        <w:t xml:space="preserve"> In 1998, a federal law was implemented against corporal punishment at school in</w:t>
      </w:r>
      <w:r w:rsidR="00AE2E9C" w:rsidRPr="008B4D4B">
        <w:rPr>
          <w:rFonts w:ascii="Didot" w:hAnsi="Didot" w:cs="Didot"/>
          <w:sz w:val="22"/>
          <w:szCs w:val="22"/>
          <w:lang w:val="en-US"/>
        </w:rPr>
        <w:t xml:space="preserve"> </w:t>
      </w:r>
      <w:r w:rsidRPr="008B4D4B">
        <w:rPr>
          <w:rFonts w:ascii="Didot" w:hAnsi="Didot" w:cs="Didot"/>
          <w:sz w:val="22"/>
          <w:szCs w:val="22"/>
          <w:lang w:val="en-US"/>
        </w:rPr>
        <w:t>United Arab Emirates where teachers who involve will face child abuse charges.12</w:t>
      </w:r>
    </w:p>
    <w:p w14:paraId="259956F1"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06A91792" w14:textId="77777777" w:rsidR="00DE5FB3" w:rsidRPr="008B4D4B" w:rsidRDefault="00540C57"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t xml:space="preserve">Child Labor: </w:t>
      </w:r>
    </w:p>
    <w:p w14:paraId="1FFA0279"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553DABE8"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In the Arab societies, child labor is growing at an alarming rate</w:t>
      </w:r>
      <w:r w:rsidR="00AE2E9C" w:rsidRPr="008B4D4B">
        <w:rPr>
          <w:rFonts w:ascii="Didot" w:hAnsi="Didot" w:cs="Didot"/>
          <w:sz w:val="22"/>
          <w:szCs w:val="22"/>
          <w:lang w:val="en-US"/>
        </w:rPr>
        <w:t xml:space="preserve">. In MENA (Middle </w:t>
      </w:r>
      <w:r w:rsidRPr="008B4D4B">
        <w:rPr>
          <w:rFonts w:ascii="Didot" w:hAnsi="Didot" w:cs="Didot"/>
          <w:sz w:val="22"/>
          <w:szCs w:val="22"/>
          <w:lang w:val="en-US"/>
        </w:rPr>
        <w:t>East and North Africa) region, 15% of the children are engaged to work. Approximately 5% of the</w:t>
      </w:r>
      <w:r w:rsidR="00AE2E9C" w:rsidRPr="008B4D4B">
        <w:rPr>
          <w:rFonts w:ascii="Didot" w:hAnsi="Didot" w:cs="Didot"/>
          <w:sz w:val="22"/>
          <w:szCs w:val="22"/>
          <w:lang w:val="en-US"/>
        </w:rPr>
        <w:t xml:space="preserve"> </w:t>
      </w:r>
      <w:r w:rsidRPr="008B4D4B">
        <w:rPr>
          <w:rFonts w:ascii="Didot" w:hAnsi="Didot" w:cs="Didot"/>
          <w:sz w:val="22"/>
          <w:szCs w:val="22"/>
          <w:lang w:val="en-US"/>
        </w:rPr>
        <w:t xml:space="preserve">children between the </w:t>
      </w:r>
      <w:proofErr w:type="gramStart"/>
      <w:r w:rsidRPr="008B4D4B">
        <w:rPr>
          <w:rFonts w:ascii="Didot" w:hAnsi="Didot" w:cs="Didot"/>
          <w:sz w:val="22"/>
          <w:szCs w:val="22"/>
          <w:lang w:val="en-US"/>
        </w:rPr>
        <w:t>age</w:t>
      </w:r>
      <w:proofErr w:type="gramEnd"/>
      <w:r w:rsidRPr="008B4D4B">
        <w:rPr>
          <w:rFonts w:ascii="Didot" w:hAnsi="Didot" w:cs="Didot"/>
          <w:sz w:val="22"/>
          <w:szCs w:val="22"/>
          <w:lang w:val="en-US"/>
        </w:rPr>
        <w:t xml:space="preserve"> of 5-15 years work in Algeria. Fourteen percent of the children in Iran are</w:t>
      </w:r>
      <w:r w:rsidR="00AE2E9C" w:rsidRPr="008B4D4B">
        <w:rPr>
          <w:rFonts w:ascii="Didot" w:hAnsi="Didot" w:cs="Didot"/>
          <w:sz w:val="22"/>
          <w:szCs w:val="22"/>
          <w:lang w:val="en-US"/>
        </w:rPr>
        <w:t xml:space="preserve"> </w:t>
      </w:r>
      <w:r w:rsidRPr="008B4D4B">
        <w:rPr>
          <w:rFonts w:ascii="Didot" w:hAnsi="Didot" w:cs="Didot"/>
          <w:sz w:val="22"/>
          <w:szCs w:val="22"/>
          <w:lang w:val="en-US"/>
        </w:rPr>
        <w:t>forced to work in dangerous and unsanitary conditions.13 According to the Ministry of Health in</w:t>
      </w:r>
    </w:p>
    <w:p w14:paraId="39F8B5D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Egypt, there are 2 million children between the age of 6-15 years ar</w:t>
      </w:r>
      <w:r w:rsidR="00AE2E9C" w:rsidRPr="008B4D4B">
        <w:rPr>
          <w:rFonts w:ascii="Didot" w:hAnsi="Didot" w:cs="Didot"/>
          <w:sz w:val="22"/>
          <w:szCs w:val="22"/>
          <w:lang w:val="en-US"/>
        </w:rPr>
        <w:t xml:space="preserve">e employed who contribute up to </w:t>
      </w:r>
      <w:r w:rsidRPr="008B4D4B">
        <w:rPr>
          <w:rFonts w:ascii="Didot" w:hAnsi="Didot" w:cs="Didot"/>
          <w:sz w:val="22"/>
          <w:szCs w:val="22"/>
          <w:lang w:val="en-US"/>
        </w:rPr>
        <w:t>29% of their family budget.14</w:t>
      </w:r>
    </w:p>
    <w:p w14:paraId="15654C7B"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6A33CDD1" w14:textId="77777777" w:rsidR="00DE5FB3" w:rsidRPr="008B4D4B" w:rsidRDefault="00540C57"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t xml:space="preserve">Child marriage: </w:t>
      </w:r>
    </w:p>
    <w:p w14:paraId="606BC189"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20EC9337"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In the Arab society, child marriage is a cultural, social, and health issues which</w:t>
      </w:r>
      <w:r w:rsidR="00AE2E9C" w:rsidRPr="008B4D4B">
        <w:rPr>
          <w:rFonts w:ascii="Didot" w:hAnsi="Didot" w:cs="Didot"/>
          <w:sz w:val="22"/>
          <w:szCs w:val="22"/>
          <w:lang w:val="en-US"/>
        </w:rPr>
        <w:t xml:space="preserve"> </w:t>
      </w:r>
      <w:r w:rsidRPr="008B4D4B">
        <w:rPr>
          <w:rFonts w:ascii="Didot" w:hAnsi="Didot" w:cs="Didot"/>
          <w:sz w:val="22"/>
          <w:szCs w:val="22"/>
          <w:lang w:val="en-US"/>
        </w:rPr>
        <w:t>violates girls’ human rights and involves early child bearing, low education, poor health, and</w:t>
      </w:r>
      <w:r w:rsidR="00AE2E9C" w:rsidRPr="008B4D4B">
        <w:rPr>
          <w:rFonts w:ascii="Didot" w:hAnsi="Didot" w:cs="Didot"/>
          <w:sz w:val="22"/>
          <w:szCs w:val="22"/>
          <w:lang w:val="en-US"/>
        </w:rPr>
        <w:t xml:space="preserve"> </w:t>
      </w:r>
      <w:r w:rsidRPr="008B4D4B">
        <w:rPr>
          <w:rFonts w:ascii="Didot" w:hAnsi="Didot" w:cs="Didot"/>
          <w:sz w:val="22"/>
          <w:szCs w:val="22"/>
          <w:lang w:val="en-US"/>
        </w:rPr>
        <w:t xml:space="preserve">generational cycle of the poverty. </w:t>
      </w:r>
      <w:proofErr w:type="gramStart"/>
      <w:r w:rsidRPr="008B4D4B">
        <w:rPr>
          <w:rFonts w:ascii="Didot" w:hAnsi="Didot" w:cs="Didot"/>
          <w:sz w:val="22"/>
          <w:szCs w:val="22"/>
          <w:lang w:val="en-US"/>
        </w:rPr>
        <w:t xml:space="preserve">The minimum legal age for marriage in this society </w:t>
      </w:r>
      <w:r w:rsidR="00AE2E9C" w:rsidRPr="008B4D4B">
        <w:rPr>
          <w:rFonts w:ascii="Didot" w:hAnsi="Didot" w:cs="Didot"/>
          <w:sz w:val="22"/>
          <w:szCs w:val="22"/>
          <w:lang w:val="en-US"/>
        </w:rPr>
        <w:t>–</w:t>
      </w:r>
      <w:r w:rsidRPr="008B4D4B">
        <w:rPr>
          <w:rFonts w:ascii="Didot" w:hAnsi="Didot" w:cs="Didot"/>
          <w:sz w:val="22"/>
          <w:szCs w:val="22"/>
          <w:lang w:val="en-US"/>
        </w:rPr>
        <w:t xml:space="preserve"> Algeria</w:t>
      </w:r>
      <w:r w:rsidR="00AE2E9C" w:rsidRPr="008B4D4B">
        <w:rPr>
          <w:rFonts w:ascii="Didot" w:hAnsi="Didot" w:cs="Didot"/>
          <w:sz w:val="22"/>
          <w:szCs w:val="22"/>
          <w:lang w:val="en-US"/>
        </w:rPr>
        <w:t xml:space="preserve"> </w:t>
      </w:r>
      <w:r w:rsidRPr="008B4D4B">
        <w:rPr>
          <w:rFonts w:ascii="Didot" w:hAnsi="Didot" w:cs="Didot"/>
          <w:sz w:val="22"/>
          <w:szCs w:val="22"/>
          <w:lang w:val="en-US"/>
        </w:rPr>
        <w:t>(female 18, male 21), Egypt (female 16, male18), Iran (female 13, male 15), Iraq, Jordan and</w:t>
      </w:r>
      <w:r w:rsidR="00AE2E9C" w:rsidRPr="008B4D4B">
        <w:rPr>
          <w:rFonts w:ascii="Didot" w:hAnsi="Didot" w:cs="Didot"/>
          <w:sz w:val="22"/>
          <w:szCs w:val="22"/>
          <w:lang w:val="en-US"/>
        </w:rPr>
        <w:t xml:space="preserve"> </w:t>
      </w:r>
      <w:r w:rsidRPr="008B4D4B">
        <w:rPr>
          <w:rFonts w:ascii="Didot" w:hAnsi="Didot" w:cs="Didot"/>
          <w:sz w:val="22"/>
          <w:szCs w:val="22"/>
          <w:lang w:val="en-US"/>
        </w:rPr>
        <w:t>Morocco (both sexes 18), Yemen (both sexes 15), and Tunisia (both sexes 20).</w:t>
      </w:r>
      <w:proofErr w:type="gramEnd"/>
      <w:r w:rsidRPr="008B4D4B">
        <w:rPr>
          <w:rFonts w:ascii="Didot" w:hAnsi="Didot" w:cs="Didot"/>
          <w:sz w:val="22"/>
          <w:szCs w:val="22"/>
          <w:lang w:val="en-US"/>
        </w:rPr>
        <w:t xml:space="preserve"> A significant number</w:t>
      </w:r>
      <w:r w:rsidR="00AE2E9C" w:rsidRPr="008B4D4B">
        <w:rPr>
          <w:rFonts w:ascii="Didot" w:hAnsi="Didot" w:cs="Didot"/>
          <w:sz w:val="22"/>
          <w:szCs w:val="22"/>
          <w:lang w:val="en-US"/>
        </w:rPr>
        <w:t xml:space="preserve"> </w:t>
      </w:r>
      <w:r w:rsidRPr="008B4D4B">
        <w:rPr>
          <w:rFonts w:ascii="Didot" w:hAnsi="Didot" w:cs="Didot"/>
          <w:sz w:val="22"/>
          <w:szCs w:val="22"/>
          <w:lang w:val="en-US"/>
        </w:rPr>
        <w:t>of girls in the MENA region still get married before the age of 18 years. In Yemen, one-third of</w:t>
      </w:r>
      <w:r w:rsidR="00AE2E9C" w:rsidRPr="008B4D4B">
        <w:rPr>
          <w:rFonts w:ascii="Didot" w:hAnsi="Didot" w:cs="Didot"/>
          <w:sz w:val="22"/>
          <w:szCs w:val="22"/>
          <w:lang w:val="en-US"/>
        </w:rPr>
        <w:t xml:space="preserve"> </w:t>
      </w:r>
      <w:r w:rsidRPr="008B4D4B">
        <w:rPr>
          <w:rFonts w:ascii="Didot" w:hAnsi="Didot" w:cs="Didot"/>
          <w:sz w:val="22"/>
          <w:szCs w:val="22"/>
          <w:lang w:val="en-US"/>
        </w:rPr>
        <w:t xml:space="preserve">women between the </w:t>
      </w:r>
      <w:proofErr w:type="gramStart"/>
      <w:r w:rsidRPr="008B4D4B">
        <w:rPr>
          <w:rFonts w:ascii="Didot" w:hAnsi="Didot" w:cs="Didot"/>
          <w:sz w:val="22"/>
          <w:szCs w:val="22"/>
          <w:lang w:val="en-US"/>
        </w:rPr>
        <w:t>age</w:t>
      </w:r>
      <w:proofErr w:type="gramEnd"/>
      <w:r w:rsidRPr="008B4D4B">
        <w:rPr>
          <w:rFonts w:ascii="Didot" w:hAnsi="Didot" w:cs="Didot"/>
          <w:sz w:val="22"/>
          <w:szCs w:val="22"/>
          <w:lang w:val="en-US"/>
        </w:rPr>
        <w:t xml:space="preserve"> of 20 to 24 years are married by 18 years.15</w:t>
      </w:r>
    </w:p>
    <w:p w14:paraId="2ED874C8"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4104E14A" w14:textId="77777777" w:rsidR="00DE5FB3" w:rsidRPr="008B4D4B" w:rsidRDefault="00540C57"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lastRenderedPageBreak/>
        <w:t xml:space="preserve">Street children: </w:t>
      </w:r>
    </w:p>
    <w:p w14:paraId="7343BC68"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089FCA89"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According to the United Nations, there are 150 mi</w:t>
      </w:r>
      <w:r w:rsidR="00AE2E9C" w:rsidRPr="008B4D4B">
        <w:rPr>
          <w:rFonts w:ascii="Didot" w:hAnsi="Didot" w:cs="Didot"/>
          <w:sz w:val="22"/>
          <w:szCs w:val="22"/>
          <w:lang w:val="en-US"/>
        </w:rPr>
        <w:t xml:space="preserve">llion street children worldwide </w:t>
      </w:r>
      <w:r w:rsidRPr="008B4D4B">
        <w:rPr>
          <w:rFonts w:ascii="Didot" w:hAnsi="Didot" w:cs="Didot"/>
          <w:sz w:val="22"/>
          <w:szCs w:val="22"/>
          <w:lang w:val="en-US"/>
        </w:rPr>
        <w:t>and this number is rising daily. Approximately 40% of the street children between 3 and 18 years are</w:t>
      </w:r>
      <w:r w:rsidR="00AE2E9C" w:rsidRPr="008B4D4B">
        <w:rPr>
          <w:rFonts w:ascii="Didot" w:hAnsi="Didot" w:cs="Didot"/>
          <w:sz w:val="22"/>
          <w:szCs w:val="22"/>
          <w:lang w:val="en-US"/>
        </w:rPr>
        <w:t xml:space="preserve"> </w:t>
      </w:r>
      <w:r w:rsidRPr="008B4D4B">
        <w:rPr>
          <w:rFonts w:ascii="Didot" w:hAnsi="Didot" w:cs="Didot"/>
          <w:sz w:val="22"/>
          <w:szCs w:val="22"/>
          <w:lang w:val="en-US"/>
        </w:rPr>
        <w:t>homeless and 60% work on the streets to support their families.16 Factors influence children on the</w:t>
      </w:r>
      <w:r w:rsidR="00AE2E9C" w:rsidRPr="008B4D4B">
        <w:rPr>
          <w:rFonts w:ascii="Didot" w:hAnsi="Didot" w:cs="Didot"/>
          <w:sz w:val="22"/>
          <w:szCs w:val="22"/>
          <w:lang w:val="en-US"/>
        </w:rPr>
        <w:t xml:space="preserve"> </w:t>
      </w:r>
      <w:r w:rsidRPr="008B4D4B">
        <w:rPr>
          <w:rFonts w:ascii="Didot" w:hAnsi="Didot" w:cs="Didot"/>
          <w:sz w:val="22"/>
          <w:szCs w:val="22"/>
          <w:lang w:val="en-US"/>
        </w:rPr>
        <w:t>street include socio-economic condition, lack of affection, domestic violence, and prostitution.17 In</w:t>
      </w:r>
      <w:r w:rsidR="00AE2E9C" w:rsidRPr="008B4D4B">
        <w:rPr>
          <w:rFonts w:ascii="Didot" w:hAnsi="Didot" w:cs="Didot"/>
          <w:sz w:val="22"/>
          <w:szCs w:val="22"/>
          <w:lang w:val="en-US"/>
        </w:rPr>
        <w:t xml:space="preserve"> </w:t>
      </w:r>
      <w:r w:rsidRPr="008B4D4B">
        <w:rPr>
          <w:rFonts w:ascii="Didot" w:hAnsi="Didot" w:cs="Didot"/>
          <w:sz w:val="22"/>
          <w:szCs w:val="22"/>
          <w:lang w:val="en-US"/>
        </w:rPr>
        <w:t>Lebanon, there is no accurate report regarding street children - 70% of</w:t>
      </w:r>
      <w:r w:rsidR="00AE2E9C" w:rsidRPr="008B4D4B">
        <w:rPr>
          <w:rFonts w:ascii="Didot" w:hAnsi="Didot" w:cs="Didot"/>
          <w:sz w:val="22"/>
          <w:szCs w:val="22"/>
          <w:lang w:val="en-US"/>
        </w:rPr>
        <w:t xml:space="preserve"> the street children are Syrian </w:t>
      </w:r>
      <w:r w:rsidRPr="008B4D4B">
        <w:rPr>
          <w:rFonts w:ascii="Didot" w:hAnsi="Didot" w:cs="Didot"/>
          <w:sz w:val="22"/>
          <w:szCs w:val="22"/>
          <w:lang w:val="en-US"/>
        </w:rPr>
        <w:t>nationals, 6% Iraqi, 1.5% Palestinian, and 1% Egyptian. Moroccans street children aged between 6</w:t>
      </w:r>
      <w:r w:rsidR="00AE2E9C" w:rsidRPr="008B4D4B">
        <w:rPr>
          <w:rFonts w:ascii="Didot" w:hAnsi="Didot" w:cs="Didot"/>
          <w:sz w:val="22"/>
          <w:szCs w:val="22"/>
          <w:lang w:val="en-US"/>
        </w:rPr>
        <w:t xml:space="preserve"> </w:t>
      </w:r>
      <w:r w:rsidRPr="008B4D4B">
        <w:rPr>
          <w:rFonts w:ascii="Didot" w:hAnsi="Didot" w:cs="Didot"/>
          <w:sz w:val="22"/>
          <w:szCs w:val="22"/>
          <w:lang w:val="en-US"/>
        </w:rPr>
        <w:t>and 25 years counted 14,000 to 16,000. Approximately, 25% of the street children in Egypt are less</w:t>
      </w:r>
      <w:r w:rsidR="00AE2E9C" w:rsidRPr="008B4D4B">
        <w:rPr>
          <w:rFonts w:ascii="Didot" w:hAnsi="Didot" w:cs="Didot"/>
          <w:sz w:val="22"/>
          <w:szCs w:val="22"/>
          <w:lang w:val="en-US"/>
        </w:rPr>
        <w:t xml:space="preserve"> </w:t>
      </w:r>
      <w:r w:rsidRPr="008B4D4B">
        <w:rPr>
          <w:rFonts w:ascii="Didot" w:hAnsi="Didot" w:cs="Didot"/>
          <w:sz w:val="22"/>
          <w:szCs w:val="22"/>
          <w:lang w:val="en-US"/>
        </w:rPr>
        <w:t>than 12 years old.18</w:t>
      </w:r>
    </w:p>
    <w:p w14:paraId="75299AD8"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58264FB2" w14:textId="77777777" w:rsidR="00DE5FB3" w:rsidRPr="008B4D4B" w:rsidRDefault="00540C57"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t>Child Trafficking:</w:t>
      </w:r>
    </w:p>
    <w:p w14:paraId="50CC49FD"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483F3F15"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Children are trafficked to the Middle East for di</w:t>
      </w:r>
      <w:r w:rsidR="00AE2E9C" w:rsidRPr="008B4D4B">
        <w:rPr>
          <w:rFonts w:ascii="Didot" w:hAnsi="Didot" w:cs="Didot"/>
          <w:sz w:val="22"/>
          <w:szCs w:val="22"/>
          <w:lang w:val="en-US"/>
        </w:rPr>
        <w:t xml:space="preserve">fferent reasons including camel </w:t>
      </w:r>
      <w:r w:rsidRPr="008B4D4B">
        <w:rPr>
          <w:rFonts w:ascii="Didot" w:hAnsi="Didot" w:cs="Didot"/>
          <w:sz w:val="22"/>
          <w:szCs w:val="22"/>
          <w:lang w:val="en-US"/>
        </w:rPr>
        <w:t>jockeys, labor, and sexual exploitation (e.g. prostitution, pornography). Many Iranian children</w:t>
      </w:r>
      <w:r w:rsidR="00AE2E9C" w:rsidRPr="008B4D4B">
        <w:rPr>
          <w:rFonts w:ascii="Didot" w:hAnsi="Didot" w:cs="Didot"/>
          <w:sz w:val="22"/>
          <w:szCs w:val="22"/>
          <w:lang w:val="en-US"/>
        </w:rPr>
        <w:t xml:space="preserve"> </w:t>
      </w:r>
      <w:r w:rsidRPr="008B4D4B">
        <w:rPr>
          <w:rFonts w:ascii="Didot" w:hAnsi="Didot" w:cs="Didot"/>
          <w:sz w:val="22"/>
          <w:szCs w:val="22"/>
          <w:lang w:val="en-US"/>
        </w:rPr>
        <w:t xml:space="preserve">between the </w:t>
      </w:r>
      <w:proofErr w:type="gramStart"/>
      <w:r w:rsidRPr="008B4D4B">
        <w:rPr>
          <w:rFonts w:ascii="Didot" w:hAnsi="Didot" w:cs="Didot"/>
          <w:sz w:val="22"/>
          <w:szCs w:val="22"/>
          <w:lang w:val="en-US"/>
        </w:rPr>
        <w:t>age</w:t>
      </w:r>
      <w:proofErr w:type="gramEnd"/>
      <w:r w:rsidRPr="008B4D4B">
        <w:rPr>
          <w:rFonts w:ascii="Didot" w:hAnsi="Didot" w:cs="Didot"/>
          <w:sz w:val="22"/>
          <w:szCs w:val="22"/>
          <w:lang w:val="en-US"/>
        </w:rPr>
        <w:t xml:space="preserve"> of 9 to 14 years are forced to involve in sex trade in UAE, Bahrain, Pakistan,</w:t>
      </w:r>
      <w:r w:rsidR="00AE2E9C" w:rsidRPr="008B4D4B">
        <w:rPr>
          <w:rFonts w:ascii="Didot" w:hAnsi="Didot" w:cs="Didot"/>
          <w:sz w:val="22"/>
          <w:szCs w:val="22"/>
          <w:lang w:val="en-US"/>
        </w:rPr>
        <w:t xml:space="preserve"> </w:t>
      </w:r>
      <w:r w:rsidRPr="008B4D4B">
        <w:rPr>
          <w:rFonts w:ascii="Didot" w:hAnsi="Didot" w:cs="Didot"/>
          <w:sz w:val="22"/>
          <w:szCs w:val="22"/>
          <w:lang w:val="en-US"/>
        </w:rPr>
        <w:t>Turkey, and Europe.19</w:t>
      </w:r>
    </w:p>
    <w:p w14:paraId="3D63F01B"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Recommendations and Conclusion: All countries in the regi</w:t>
      </w:r>
      <w:r w:rsidR="00AE2E9C" w:rsidRPr="008B4D4B">
        <w:rPr>
          <w:rFonts w:ascii="Didot" w:hAnsi="Didot" w:cs="Didot"/>
          <w:sz w:val="22"/>
          <w:szCs w:val="22"/>
          <w:lang w:val="en-US"/>
        </w:rPr>
        <w:t xml:space="preserve">on have ratified United Nations </w:t>
      </w:r>
      <w:r w:rsidRPr="008B4D4B">
        <w:rPr>
          <w:rFonts w:ascii="Didot" w:hAnsi="Didot" w:cs="Didot"/>
          <w:sz w:val="22"/>
          <w:szCs w:val="22"/>
          <w:lang w:val="en-US"/>
        </w:rPr>
        <w:t>Convention on the Rights of the Children (CRC), which protects children from all forms of abuse.20</w:t>
      </w:r>
      <w:r w:rsidR="00DE5FB3" w:rsidRPr="008B4D4B">
        <w:rPr>
          <w:rFonts w:ascii="Didot" w:hAnsi="Didot" w:cs="Didot"/>
          <w:sz w:val="22"/>
          <w:szCs w:val="22"/>
          <w:lang w:val="en-US"/>
        </w:rPr>
        <w:t xml:space="preserve"> </w:t>
      </w:r>
      <w:r w:rsidRPr="008B4D4B">
        <w:rPr>
          <w:rFonts w:ascii="Didot" w:hAnsi="Didot" w:cs="Didot"/>
          <w:sz w:val="22"/>
          <w:szCs w:val="22"/>
          <w:lang w:val="en-US"/>
        </w:rPr>
        <w:t>Case reports, and research study might help the implementers to r</w:t>
      </w:r>
      <w:r w:rsidR="00AE2E9C" w:rsidRPr="008B4D4B">
        <w:rPr>
          <w:rFonts w:ascii="Didot" w:hAnsi="Didot" w:cs="Didot"/>
          <w:sz w:val="22"/>
          <w:szCs w:val="22"/>
          <w:lang w:val="en-US"/>
        </w:rPr>
        <w:t xml:space="preserve">educe the burden of CAN in this </w:t>
      </w:r>
      <w:r w:rsidRPr="008B4D4B">
        <w:rPr>
          <w:rFonts w:ascii="Didot" w:hAnsi="Didot" w:cs="Didot"/>
          <w:sz w:val="22"/>
          <w:szCs w:val="22"/>
          <w:lang w:val="en-US"/>
        </w:rPr>
        <w:t>society. In addition, population-based CAN data are necessary to inform and guide professionals and</w:t>
      </w:r>
      <w:r w:rsidR="00AE2E9C" w:rsidRPr="008B4D4B">
        <w:rPr>
          <w:rFonts w:ascii="Didot" w:hAnsi="Didot" w:cs="Didot"/>
          <w:sz w:val="22"/>
          <w:szCs w:val="22"/>
          <w:lang w:val="en-US"/>
        </w:rPr>
        <w:t xml:space="preserve"> </w:t>
      </w:r>
      <w:r w:rsidRPr="008B4D4B">
        <w:rPr>
          <w:rFonts w:ascii="Didot" w:hAnsi="Didot" w:cs="Didot"/>
          <w:sz w:val="22"/>
          <w:szCs w:val="22"/>
          <w:lang w:val="en-US"/>
        </w:rPr>
        <w:t>decision makers for prevention policies and resource allocation. Data will be presented from recent</w:t>
      </w:r>
      <w:r w:rsidR="00AE2E9C" w:rsidRPr="008B4D4B">
        <w:rPr>
          <w:rFonts w:ascii="Didot" w:hAnsi="Didot" w:cs="Didot"/>
          <w:sz w:val="22"/>
          <w:szCs w:val="22"/>
          <w:lang w:val="en-US"/>
        </w:rPr>
        <w:t xml:space="preserve"> </w:t>
      </w:r>
      <w:r w:rsidRPr="008B4D4B">
        <w:rPr>
          <w:rFonts w:ascii="Didot" w:hAnsi="Didot" w:cs="Didot"/>
          <w:sz w:val="22"/>
          <w:szCs w:val="22"/>
          <w:lang w:val="en-US"/>
        </w:rPr>
        <w:t>national surveillance done in Saudi Arabia using ICAST and ACE instruments that highlight the prevalence</w:t>
      </w:r>
      <w:r w:rsidR="00AE2E9C" w:rsidRPr="008B4D4B">
        <w:rPr>
          <w:rFonts w:ascii="Didot" w:hAnsi="Didot" w:cs="Didot"/>
          <w:sz w:val="22"/>
          <w:szCs w:val="22"/>
          <w:lang w:val="en-US"/>
        </w:rPr>
        <w:t xml:space="preserve"> </w:t>
      </w:r>
      <w:r w:rsidRPr="008B4D4B">
        <w:rPr>
          <w:rFonts w:ascii="Didot" w:hAnsi="Didot" w:cs="Didot"/>
          <w:sz w:val="22"/>
          <w:szCs w:val="22"/>
          <w:lang w:val="en-US"/>
        </w:rPr>
        <w:t>of CAN in one Arab country.</w:t>
      </w:r>
    </w:p>
    <w:p w14:paraId="3DFF0FBB" w14:textId="77777777" w:rsidR="00AE2E9C" w:rsidRPr="008B4D4B" w:rsidRDefault="00AE2E9C" w:rsidP="008A7E29">
      <w:pPr>
        <w:widowControl w:val="0"/>
        <w:autoSpaceDE w:val="0"/>
        <w:autoSpaceDN w:val="0"/>
        <w:adjustRightInd w:val="0"/>
        <w:jc w:val="both"/>
        <w:rPr>
          <w:rFonts w:ascii="Didot" w:hAnsi="Didot" w:cs="Didot"/>
          <w:sz w:val="22"/>
          <w:szCs w:val="22"/>
          <w:lang w:val="en-US"/>
        </w:rPr>
      </w:pPr>
    </w:p>
    <w:p w14:paraId="7D0B3D31" w14:textId="77777777" w:rsidR="00540C57" w:rsidRPr="008B4D4B" w:rsidRDefault="00540C57" w:rsidP="008A7E29">
      <w:pPr>
        <w:widowControl w:val="0"/>
        <w:autoSpaceDE w:val="0"/>
        <w:autoSpaceDN w:val="0"/>
        <w:adjustRightInd w:val="0"/>
        <w:jc w:val="both"/>
        <w:rPr>
          <w:rFonts w:ascii="Didot" w:hAnsi="Didot" w:cs="Didot"/>
          <w:b/>
          <w:sz w:val="22"/>
          <w:szCs w:val="22"/>
          <w:lang w:val="en-US"/>
        </w:rPr>
      </w:pPr>
      <w:r w:rsidRPr="008B4D4B">
        <w:rPr>
          <w:rFonts w:ascii="Didot" w:hAnsi="Didot" w:cs="Didot"/>
          <w:b/>
          <w:sz w:val="22"/>
          <w:szCs w:val="22"/>
          <w:lang w:val="en-US"/>
        </w:rPr>
        <w:t>References</w:t>
      </w:r>
    </w:p>
    <w:p w14:paraId="33376CD9" w14:textId="77777777" w:rsidR="00DE5FB3" w:rsidRPr="008B4D4B" w:rsidRDefault="00DE5FB3" w:rsidP="008A7E29">
      <w:pPr>
        <w:widowControl w:val="0"/>
        <w:autoSpaceDE w:val="0"/>
        <w:autoSpaceDN w:val="0"/>
        <w:adjustRightInd w:val="0"/>
        <w:jc w:val="both"/>
        <w:rPr>
          <w:rFonts w:ascii="Didot" w:hAnsi="Didot" w:cs="Didot"/>
          <w:sz w:val="22"/>
          <w:szCs w:val="22"/>
          <w:lang w:val="en-US"/>
        </w:rPr>
      </w:pPr>
    </w:p>
    <w:p w14:paraId="705797F9"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roofErr w:type="gramStart"/>
      <w:r w:rsidRPr="008B4D4B">
        <w:rPr>
          <w:rFonts w:ascii="Didot" w:hAnsi="Didot" w:cs="Didot"/>
          <w:sz w:val="22"/>
          <w:szCs w:val="22"/>
          <w:lang w:val="en-US"/>
        </w:rPr>
        <w:t>1. World Health Organization</w:t>
      </w:r>
      <w:proofErr w:type="gramEnd"/>
      <w:r w:rsidRPr="008B4D4B">
        <w:rPr>
          <w:rFonts w:ascii="Didot" w:hAnsi="Didot" w:cs="Didot"/>
          <w:sz w:val="22"/>
          <w:szCs w:val="22"/>
          <w:lang w:val="en-US"/>
        </w:rPr>
        <w:t xml:space="preserve"> (WHO), &amp; International Society for the</w:t>
      </w:r>
      <w:r w:rsidR="00AE2E9C" w:rsidRPr="008B4D4B">
        <w:rPr>
          <w:rFonts w:ascii="Didot" w:hAnsi="Didot" w:cs="Didot"/>
          <w:sz w:val="22"/>
          <w:szCs w:val="22"/>
          <w:lang w:val="en-US"/>
        </w:rPr>
        <w:t xml:space="preserve"> Prevention of Child </w:t>
      </w:r>
      <w:r w:rsidRPr="008B4D4B">
        <w:rPr>
          <w:rFonts w:ascii="Didot" w:hAnsi="Didot" w:cs="Didot"/>
          <w:sz w:val="22"/>
          <w:szCs w:val="22"/>
          <w:lang w:val="en-US"/>
        </w:rPr>
        <w:t>Abuse and Neglect (ISPCAN). (2006). Preventing child maltreatment: A guide to taking</w:t>
      </w:r>
      <w:r w:rsidR="00AE2E9C" w:rsidRPr="008B4D4B">
        <w:rPr>
          <w:rFonts w:ascii="Didot" w:hAnsi="Didot" w:cs="Didot"/>
          <w:sz w:val="22"/>
          <w:szCs w:val="22"/>
          <w:lang w:val="en-US"/>
        </w:rPr>
        <w:t xml:space="preserve"> </w:t>
      </w:r>
      <w:r w:rsidRPr="008B4D4B">
        <w:rPr>
          <w:rFonts w:ascii="Didot" w:hAnsi="Didot" w:cs="Didot"/>
          <w:sz w:val="22"/>
          <w:szCs w:val="22"/>
          <w:lang w:val="en-US"/>
        </w:rPr>
        <w:t>action and generating evidence. Geneva, Switzerland.</w:t>
      </w:r>
    </w:p>
    <w:p w14:paraId="6B6E0ECF"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783B1601"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2. Al-Mahroos, F. T., &amp; Al-Amer E. (2011). Reported child</w:t>
      </w:r>
      <w:r w:rsidR="00AE2E9C" w:rsidRPr="008B4D4B">
        <w:rPr>
          <w:rFonts w:ascii="Didot" w:hAnsi="Didot" w:cs="Didot"/>
          <w:sz w:val="22"/>
          <w:szCs w:val="22"/>
          <w:lang w:val="en-US"/>
        </w:rPr>
        <w:t xml:space="preserve"> sexual abuse in Bahrain: 2000- </w:t>
      </w:r>
      <w:r w:rsidRPr="008B4D4B">
        <w:rPr>
          <w:rFonts w:ascii="Didot" w:hAnsi="Didot" w:cs="Didot"/>
          <w:sz w:val="22"/>
          <w:szCs w:val="22"/>
          <w:lang w:val="en-US"/>
        </w:rPr>
        <w:t xml:space="preserve">2009. </w:t>
      </w:r>
      <w:proofErr w:type="gramStart"/>
      <w:r w:rsidRPr="008B4D4B">
        <w:rPr>
          <w:rFonts w:ascii="Didot" w:hAnsi="Didot" w:cs="Didot"/>
          <w:sz w:val="22"/>
          <w:szCs w:val="22"/>
          <w:lang w:val="en-US"/>
        </w:rPr>
        <w:t>Annals of Saudi Medicine, 31, 376-382.</w:t>
      </w:r>
      <w:proofErr w:type="gramEnd"/>
    </w:p>
    <w:p w14:paraId="0DC8197B"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50863390"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3. Youssef, R. M., Attia, M. S., &amp; Kamel, M. I. (1998). Children experiencing violence II:</w:t>
      </w:r>
    </w:p>
    <w:p w14:paraId="4774F7C6"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roofErr w:type="gramStart"/>
      <w:r w:rsidRPr="008B4D4B">
        <w:rPr>
          <w:rFonts w:ascii="Didot" w:hAnsi="Didot" w:cs="Didot"/>
          <w:sz w:val="22"/>
          <w:szCs w:val="22"/>
          <w:lang w:val="en-US"/>
        </w:rPr>
        <w:t>prevalence</w:t>
      </w:r>
      <w:proofErr w:type="gramEnd"/>
      <w:r w:rsidRPr="008B4D4B">
        <w:rPr>
          <w:rFonts w:ascii="Didot" w:hAnsi="Didot" w:cs="Didot"/>
          <w:sz w:val="22"/>
          <w:szCs w:val="22"/>
          <w:lang w:val="en-US"/>
        </w:rPr>
        <w:t xml:space="preserve"> and determinants of corporal punishment in scho</w:t>
      </w:r>
      <w:r w:rsidR="00AE2E9C" w:rsidRPr="008B4D4B">
        <w:rPr>
          <w:rFonts w:ascii="Didot" w:hAnsi="Didot" w:cs="Didot"/>
          <w:sz w:val="22"/>
          <w:szCs w:val="22"/>
          <w:lang w:val="en-US"/>
        </w:rPr>
        <w:t xml:space="preserve">ols. </w:t>
      </w:r>
      <w:proofErr w:type="gramStart"/>
      <w:r w:rsidR="00AE2E9C" w:rsidRPr="008B4D4B">
        <w:rPr>
          <w:rFonts w:ascii="Didot" w:hAnsi="Didot" w:cs="Didot"/>
          <w:sz w:val="22"/>
          <w:szCs w:val="22"/>
          <w:lang w:val="en-US"/>
        </w:rPr>
        <w:t xml:space="preserve">Child Abuse &amp; Neglect, 22, </w:t>
      </w:r>
      <w:r w:rsidRPr="008B4D4B">
        <w:rPr>
          <w:rFonts w:ascii="Didot" w:hAnsi="Didot" w:cs="Didot"/>
          <w:sz w:val="22"/>
          <w:szCs w:val="22"/>
          <w:lang w:val="en-US"/>
        </w:rPr>
        <w:t>975-985.</w:t>
      </w:r>
      <w:proofErr w:type="gramEnd"/>
    </w:p>
    <w:p w14:paraId="6D524650"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08604DA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4. Shalhoub-Kevorkian, N. (1999). The politics of disclosing female sexual abuse: A case study</w:t>
      </w:r>
      <w:r w:rsidR="00AE2E9C" w:rsidRPr="008B4D4B">
        <w:rPr>
          <w:rFonts w:ascii="Didot" w:hAnsi="Didot" w:cs="Didot"/>
          <w:sz w:val="22"/>
          <w:szCs w:val="22"/>
          <w:lang w:val="en-US"/>
        </w:rPr>
        <w:t xml:space="preserve"> </w:t>
      </w:r>
      <w:r w:rsidRPr="008B4D4B">
        <w:rPr>
          <w:rFonts w:ascii="Didot" w:hAnsi="Didot" w:cs="Didot"/>
          <w:sz w:val="22"/>
          <w:szCs w:val="22"/>
          <w:lang w:val="en-US"/>
        </w:rPr>
        <w:t xml:space="preserve">of Palestinian society. </w:t>
      </w:r>
      <w:proofErr w:type="gramStart"/>
      <w:r w:rsidRPr="008B4D4B">
        <w:rPr>
          <w:rFonts w:ascii="Didot" w:hAnsi="Didot" w:cs="Didot"/>
          <w:sz w:val="22"/>
          <w:szCs w:val="22"/>
          <w:lang w:val="en-US"/>
        </w:rPr>
        <w:t>Child Abuse &amp; Neglect, 23, 1275-1293.</w:t>
      </w:r>
      <w:proofErr w:type="gramEnd"/>
    </w:p>
    <w:p w14:paraId="71907475"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4DD09674"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5. Al-Eissa, Y. (1991). The battered child syndrome: Does it exist in Saudi Arabia? Saudi</w:t>
      </w:r>
    </w:p>
    <w:p w14:paraId="5628B3F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roofErr w:type="gramStart"/>
      <w:r w:rsidRPr="008B4D4B">
        <w:rPr>
          <w:rFonts w:ascii="Didot" w:hAnsi="Didot" w:cs="Didot"/>
          <w:sz w:val="22"/>
          <w:szCs w:val="22"/>
          <w:lang w:val="en-US"/>
        </w:rPr>
        <w:t>Medical Journal, 12, 129-133.</w:t>
      </w:r>
      <w:proofErr w:type="gramEnd"/>
    </w:p>
    <w:p w14:paraId="728DAE33"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4060CAB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6. Al-Mugeiren, M., &amp; Ganelin, R. S. (1990). </w:t>
      </w:r>
      <w:proofErr w:type="gramStart"/>
      <w:r w:rsidRPr="008B4D4B">
        <w:rPr>
          <w:rFonts w:ascii="Didot" w:hAnsi="Didot" w:cs="Didot"/>
          <w:sz w:val="22"/>
          <w:szCs w:val="22"/>
          <w:lang w:val="en-US"/>
        </w:rPr>
        <w:t>A suspected</w:t>
      </w:r>
      <w:r w:rsidR="00AE2E9C" w:rsidRPr="008B4D4B">
        <w:rPr>
          <w:rFonts w:ascii="Didot" w:hAnsi="Didot" w:cs="Didot"/>
          <w:sz w:val="22"/>
          <w:szCs w:val="22"/>
          <w:lang w:val="en-US"/>
        </w:rPr>
        <w:t xml:space="preserve"> case of Munchausen Syndrome by </w:t>
      </w:r>
      <w:r w:rsidRPr="008B4D4B">
        <w:rPr>
          <w:rFonts w:ascii="Didot" w:hAnsi="Didot" w:cs="Didot"/>
          <w:sz w:val="22"/>
          <w:szCs w:val="22"/>
          <w:lang w:val="en-US"/>
        </w:rPr>
        <w:t>Proxy in a Saudi child.</w:t>
      </w:r>
      <w:proofErr w:type="gramEnd"/>
      <w:r w:rsidRPr="008B4D4B">
        <w:rPr>
          <w:rFonts w:ascii="Didot" w:hAnsi="Didot" w:cs="Didot"/>
          <w:sz w:val="22"/>
          <w:szCs w:val="22"/>
          <w:lang w:val="en-US"/>
        </w:rPr>
        <w:t xml:space="preserve"> </w:t>
      </w:r>
      <w:proofErr w:type="gramStart"/>
      <w:r w:rsidRPr="008B4D4B">
        <w:rPr>
          <w:rFonts w:ascii="Didot" w:hAnsi="Didot" w:cs="Didot"/>
          <w:sz w:val="22"/>
          <w:szCs w:val="22"/>
          <w:lang w:val="en-US"/>
        </w:rPr>
        <w:t>Annals of Saudi Medicine, 10, 662-665.</w:t>
      </w:r>
      <w:proofErr w:type="gramEnd"/>
    </w:p>
    <w:p w14:paraId="5C4CE55B"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0D07B3F8"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7. Al-Eissa, M. A., Fluke, J. D., Gerbaka, B., Goldbeck, L., G</w:t>
      </w:r>
      <w:r w:rsidR="00AE2E9C" w:rsidRPr="008B4D4B">
        <w:rPr>
          <w:rFonts w:ascii="Didot" w:hAnsi="Didot" w:cs="Didot"/>
          <w:sz w:val="22"/>
          <w:szCs w:val="22"/>
          <w:lang w:val="en-US"/>
        </w:rPr>
        <w:t xml:space="preserve">ray, J., Hunter, N., Tonmyr, L. </w:t>
      </w:r>
      <w:r w:rsidRPr="008B4D4B">
        <w:rPr>
          <w:rFonts w:ascii="Didot" w:hAnsi="Didot" w:cs="Didot"/>
          <w:sz w:val="22"/>
          <w:szCs w:val="22"/>
          <w:lang w:val="en-US"/>
        </w:rPr>
        <w:t>(2009). A commentary on national child maltreatment surveillance systems: Examples of</w:t>
      </w:r>
      <w:r w:rsidR="00AE2E9C" w:rsidRPr="008B4D4B">
        <w:rPr>
          <w:rFonts w:ascii="Didot" w:hAnsi="Didot" w:cs="Didot"/>
          <w:sz w:val="22"/>
          <w:szCs w:val="22"/>
          <w:lang w:val="en-US"/>
        </w:rPr>
        <w:t xml:space="preserve"> </w:t>
      </w:r>
      <w:r w:rsidRPr="008B4D4B">
        <w:rPr>
          <w:rFonts w:ascii="Didot" w:hAnsi="Didot" w:cs="Didot"/>
          <w:sz w:val="22"/>
          <w:szCs w:val="22"/>
          <w:lang w:val="en-US"/>
        </w:rPr>
        <w:t xml:space="preserve">progress. </w:t>
      </w:r>
      <w:proofErr w:type="gramStart"/>
      <w:r w:rsidRPr="008B4D4B">
        <w:rPr>
          <w:rFonts w:ascii="Didot" w:hAnsi="Didot" w:cs="Didot"/>
          <w:sz w:val="22"/>
          <w:szCs w:val="22"/>
          <w:lang w:val="en-US"/>
        </w:rPr>
        <w:t>Child Abuse &amp; Neglect, 33, 809-814.</w:t>
      </w:r>
      <w:proofErr w:type="gramEnd"/>
    </w:p>
    <w:p w14:paraId="7B8FF7BF"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5D20659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8. Almuneef, M. A., &amp; Al-Eissa, M. A. (2011). Preventing c</w:t>
      </w:r>
      <w:r w:rsidR="00AE2E9C" w:rsidRPr="008B4D4B">
        <w:rPr>
          <w:rFonts w:ascii="Didot" w:hAnsi="Didot" w:cs="Didot"/>
          <w:sz w:val="22"/>
          <w:szCs w:val="22"/>
          <w:lang w:val="en-US"/>
        </w:rPr>
        <w:t xml:space="preserve">hild abuse and neglect in Saudi </w:t>
      </w:r>
      <w:r w:rsidRPr="008B4D4B">
        <w:rPr>
          <w:rFonts w:ascii="Didot" w:hAnsi="Didot" w:cs="Didot"/>
          <w:sz w:val="22"/>
          <w:szCs w:val="22"/>
          <w:lang w:val="en-US"/>
        </w:rPr>
        <w:t xml:space="preserve">Arabia: Are we ready? </w:t>
      </w:r>
      <w:proofErr w:type="gramStart"/>
      <w:r w:rsidRPr="008B4D4B">
        <w:rPr>
          <w:rFonts w:ascii="Didot" w:hAnsi="Didot" w:cs="Didot"/>
          <w:sz w:val="22"/>
          <w:szCs w:val="22"/>
          <w:lang w:val="en-US"/>
        </w:rPr>
        <w:t>Annals of Saudi Medicine, 6, 635-640.</w:t>
      </w:r>
      <w:proofErr w:type="gramEnd"/>
    </w:p>
    <w:p w14:paraId="3EE6B1AB"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333AB61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9. Female Genital Mutilation/Cutting</w:t>
      </w:r>
      <w:proofErr w:type="gramStart"/>
      <w:r w:rsidRPr="008B4D4B">
        <w:rPr>
          <w:rFonts w:ascii="Didot" w:hAnsi="Didot" w:cs="Didot"/>
          <w:sz w:val="22"/>
          <w:szCs w:val="22"/>
          <w:lang w:val="en-US"/>
        </w:rPr>
        <w:t>:A</w:t>
      </w:r>
      <w:proofErr w:type="gramEnd"/>
      <w:r w:rsidRPr="008B4D4B">
        <w:rPr>
          <w:rFonts w:ascii="Didot" w:hAnsi="Didot" w:cs="Didot"/>
          <w:sz w:val="22"/>
          <w:szCs w:val="22"/>
          <w:lang w:val="en-US"/>
        </w:rPr>
        <w:t xml:space="preserve"> statistical overview and</w:t>
      </w:r>
      <w:r w:rsidR="00AE2E9C" w:rsidRPr="008B4D4B">
        <w:rPr>
          <w:rFonts w:ascii="Didot" w:hAnsi="Didot" w:cs="Didot"/>
          <w:sz w:val="22"/>
          <w:szCs w:val="22"/>
          <w:lang w:val="en-US"/>
        </w:rPr>
        <w:t xml:space="preserve"> exploration of the dynamics of change (2013). Available at: </w:t>
      </w:r>
      <w:r w:rsidRPr="008B4D4B">
        <w:rPr>
          <w:rFonts w:ascii="Didot" w:hAnsi="Didot" w:cs="Didot"/>
          <w:sz w:val="22"/>
          <w:szCs w:val="22"/>
          <w:lang w:val="en-US"/>
        </w:rPr>
        <w:t>http://www.unicef.org/media/files/FGCM_Lo_res.pdf</w:t>
      </w:r>
    </w:p>
    <w:p w14:paraId="6E68DA23"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(Accessed on July 10, 2014)</w:t>
      </w:r>
    </w:p>
    <w:p w14:paraId="4785509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10. UNICEF (2007). Progress for Children: A World Fit for Children – Statistical Review.</w:t>
      </w:r>
    </w:p>
    <w:p w14:paraId="6072D0C8" w14:textId="77777777" w:rsidR="00540C57" w:rsidRPr="008B4D4B" w:rsidRDefault="00AE2E9C"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Available at: </w:t>
      </w:r>
      <w:r w:rsidR="00540C57" w:rsidRPr="008B4D4B">
        <w:rPr>
          <w:rFonts w:ascii="Didot" w:hAnsi="Didot" w:cs="Didot"/>
          <w:sz w:val="22"/>
          <w:szCs w:val="22"/>
          <w:lang w:val="en-US"/>
        </w:rPr>
        <w:t>http://www.unicef.org/progressforchildren/2007n6/files/Progress_for_Children_-_No._6.pdf</w:t>
      </w:r>
      <w:r w:rsidRPr="008B4D4B">
        <w:rPr>
          <w:rFonts w:ascii="Didot" w:hAnsi="Didot" w:cs="Didot"/>
          <w:sz w:val="22"/>
          <w:szCs w:val="22"/>
          <w:lang w:val="en-US"/>
        </w:rPr>
        <w:t xml:space="preserve"> </w:t>
      </w:r>
      <w:r w:rsidR="00540C57" w:rsidRPr="008B4D4B">
        <w:rPr>
          <w:rFonts w:ascii="Didot" w:hAnsi="Didot" w:cs="Didot"/>
          <w:sz w:val="22"/>
          <w:szCs w:val="22"/>
          <w:lang w:val="en-US"/>
        </w:rPr>
        <w:t>a. (Accessed on July 10, 2014)</w:t>
      </w:r>
    </w:p>
    <w:p w14:paraId="2FC06D83"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11. Krug, E. G., Mercy, J. A., Dahlberg, L. L., &amp; Zwi, A, B. (2002) World </w:t>
      </w:r>
      <w:proofErr w:type="gramStart"/>
      <w:r w:rsidRPr="008B4D4B">
        <w:rPr>
          <w:rFonts w:ascii="Didot" w:hAnsi="Didot" w:cs="Didot"/>
          <w:sz w:val="22"/>
          <w:szCs w:val="22"/>
          <w:lang w:val="en-US"/>
        </w:rPr>
        <w:t>report</w:t>
      </w:r>
      <w:proofErr w:type="gramEnd"/>
      <w:r w:rsidR="00AE2E9C" w:rsidRPr="008B4D4B">
        <w:rPr>
          <w:rFonts w:ascii="Didot" w:hAnsi="Didot" w:cs="Didot"/>
          <w:sz w:val="22"/>
          <w:szCs w:val="22"/>
          <w:lang w:val="en-US"/>
        </w:rPr>
        <w:t xml:space="preserve"> on violence </w:t>
      </w:r>
      <w:r w:rsidRPr="008B4D4B">
        <w:rPr>
          <w:rFonts w:ascii="Didot" w:hAnsi="Didot" w:cs="Didot"/>
          <w:sz w:val="22"/>
          <w:szCs w:val="22"/>
          <w:lang w:val="en-US"/>
        </w:rPr>
        <w:t>and health, Geneva: World Health Organization. Available at: http://ac.elscdn.</w:t>
      </w:r>
    </w:p>
    <w:p w14:paraId="043600C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roofErr w:type="gramStart"/>
      <w:r w:rsidRPr="008B4D4B">
        <w:rPr>
          <w:rFonts w:ascii="Didot" w:hAnsi="Didot" w:cs="Didot"/>
          <w:sz w:val="22"/>
          <w:szCs w:val="22"/>
          <w:lang w:val="en-US"/>
        </w:rPr>
        <w:t>com</w:t>
      </w:r>
      <w:proofErr w:type="gramEnd"/>
      <w:r w:rsidRPr="008B4D4B">
        <w:rPr>
          <w:rFonts w:ascii="Didot" w:hAnsi="Didot" w:cs="Didot"/>
          <w:sz w:val="22"/>
          <w:szCs w:val="22"/>
          <w:lang w:val="en-US"/>
        </w:rPr>
        <w:t>/S0140673602111330/1-s2.0-S0140673602111330-main.pdf?_tid=ad8b1fec-21e0-</w:t>
      </w:r>
    </w:p>
    <w:p w14:paraId="26C97385"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11e4-ba3e-00000aab0f27&amp;acdnat=1407821139_03b5be2063221fe67cc72cf02777bf7f</w:t>
      </w:r>
    </w:p>
    <w:p w14:paraId="19616DE4"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(Accessed on July 10, 2014)</w:t>
      </w:r>
    </w:p>
    <w:p w14:paraId="49C17CA0"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1ED6D3D4"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12. Available at: </w:t>
      </w:r>
      <w:hyperlink r:id="rId15" w:history="1">
        <w:r w:rsidR="00AE2E9C" w:rsidRPr="008B4D4B">
          <w:rPr>
            <w:rStyle w:val="Hyperlink"/>
            <w:rFonts w:ascii="Didot" w:hAnsi="Didot" w:cs="Didot"/>
            <w:sz w:val="22"/>
            <w:szCs w:val="22"/>
            <w:lang w:val="en-US"/>
          </w:rPr>
          <w:t>http://www.thenational.ae/news/uae-news/education/uae-teacher-banned-afterforcing-</w:t>
        </w:r>
      </w:hyperlink>
      <w:r w:rsidR="00AE2E9C" w:rsidRPr="008B4D4B">
        <w:rPr>
          <w:rFonts w:ascii="Didot" w:hAnsi="Didot" w:cs="Didot"/>
          <w:sz w:val="22"/>
          <w:szCs w:val="22"/>
          <w:lang w:val="en-US"/>
        </w:rPr>
        <w:t xml:space="preserve"> </w:t>
      </w:r>
      <w:r w:rsidRPr="008B4D4B">
        <w:rPr>
          <w:rFonts w:ascii="Didot" w:hAnsi="Didot" w:cs="Didot"/>
          <w:sz w:val="22"/>
          <w:szCs w:val="22"/>
          <w:lang w:val="en-US"/>
        </w:rPr>
        <w:t>child-to-remove-shirt-in-class (Accessed on August 12, 2014)</w:t>
      </w:r>
    </w:p>
    <w:p w14:paraId="32892D5B"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539DBE85"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13. Fact sheet: Child labour, UNICEF Available at:</w:t>
      </w:r>
    </w:p>
    <w:p w14:paraId="65A2D293"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http://www.unicef.org/protection/files/child_labour.pdf (Accessed on July 10, 2014)</w:t>
      </w:r>
    </w:p>
    <w:p w14:paraId="32753E93"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56EE59D4"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14. Available at: </w:t>
      </w:r>
      <w:hyperlink r:id="rId16" w:history="1">
        <w:r w:rsidR="00AE2E9C" w:rsidRPr="008B4D4B">
          <w:rPr>
            <w:rStyle w:val="Hyperlink"/>
            <w:rFonts w:ascii="Didot" w:hAnsi="Didot" w:cs="Didot"/>
            <w:sz w:val="22"/>
            <w:szCs w:val="22"/>
            <w:lang w:val="en-US"/>
          </w:rPr>
          <w:t>http://gulfnews.com/news/gulf/uae/general/child-labour-is-an-increasingphenomenon-</w:t>
        </w:r>
      </w:hyperlink>
      <w:r w:rsidR="00AE2E9C" w:rsidRPr="008B4D4B">
        <w:rPr>
          <w:rFonts w:ascii="Didot" w:hAnsi="Didot" w:cs="Didot"/>
          <w:sz w:val="22"/>
          <w:szCs w:val="22"/>
          <w:lang w:val="en-US"/>
        </w:rPr>
        <w:t xml:space="preserve"> </w:t>
      </w:r>
      <w:r w:rsidRPr="008B4D4B">
        <w:rPr>
          <w:rFonts w:ascii="Didot" w:hAnsi="Didot" w:cs="Didot"/>
          <w:sz w:val="22"/>
          <w:szCs w:val="22"/>
          <w:lang w:val="en-US"/>
        </w:rPr>
        <w:t>in-arab-world-1.370070 (Accessed on August 11, 2014)</w:t>
      </w:r>
    </w:p>
    <w:p w14:paraId="10F8FE59"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3B425820"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15. Available at: http://www.prb.org/Publications/Articles/2010/menachildmarriage.aspx</w:t>
      </w:r>
    </w:p>
    <w:p w14:paraId="7B3B9B83"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(Accessed on July 10, 2014)</w:t>
      </w:r>
    </w:p>
    <w:p w14:paraId="38C9F344"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36864927"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16. Available at: http://pangaea.org/street_children/kids.htm (Accessed on August 12, 2014)</w:t>
      </w:r>
    </w:p>
    <w:p w14:paraId="58B121A7"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1E64DE4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17. The official newsletter of the ISPCAN, 2005</w:t>
      </w:r>
    </w:p>
    <w:p w14:paraId="1EAF549C"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474D94D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18. Civil Society Forum for MENA on promoting and protecting r</w:t>
      </w:r>
      <w:r w:rsidR="00AE2E9C" w:rsidRPr="008B4D4B">
        <w:rPr>
          <w:rFonts w:ascii="Didot" w:hAnsi="Didot" w:cs="Didot"/>
          <w:sz w:val="22"/>
          <w:szCs w:val="22"/>
          <w:lang w:val="en-US"/>
        </w:rPr>
        <w:t xml:space="preserve">ights of street children, 2004. Cairo, Egypt. Available at: </w:t>
      </w:r>
      <w:r w:rsidRPr="008B4D4B">
        <w:rPr>
          <w:rFonts w:ascii="Didot" w:hAnsi="Didot" w:cs="Didot"/>
          <w:sz w:val="22"/>
          <w:szCs w:val="22"/>
          <w:lang w:val="en-US"/>
        </w:rPr>
        <w:t>http://www.streetchildrenresources.org/wpcontent/uploads/2013/01/a-civil-society-forum-for-north-africa-and-the-middle-east.pdf</w:t>
      </w:r>
    </w:p>
    <w:p w14:paraId="0654412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(Accessed on July 10, 2014)</w:t>
      </w:r>
    </w:p>
    <w:p w14:paraId="6954DD85" w14:textId="77777777" w:rsidR="00871325" w:rsidRPr="008B4D4B" w:rsidRDefault="00871325" w:rsidP="008A7E29">
      <w:pPr>
        <w:widowControl w:val="0"/>
        <w:autoSpaceDE w:val="0"/>
        <w:autoSpaceDN w:val="0"/>
        <w:adjustRightInd w:val="0"/>
        <w:jc w:val="both"/>
        <w:rPr>
          <w:rFonts w:ascii="Didot" w:hAnsi="Didot" w:cs="Didot"/>
          <w:sz w:val="22"/>
          <w:szCs w:val="22"/>
          <w:lang w:val="en-US"/>
        </w:rPr>
      </w:pPr>
    </w:p>
    <w:p w14:paraId="77C31B6B"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19. Available at: http://www.humanium.org/en/iran/ (Accessed on August 12, 2014)</w:t>
      </w:r>
    </w:p>
    <w:p w14:paraId="12FFCB7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20. Al-Mahroos, F. T. (2007). Child abuse and neglect in th</w:t>
      </w:r>
      <w:r w:rsidR="00AE2E9C" w:rsidRPr="008B4D4B">
        <w:rPr>
          <w:rFonts w:ascii="Didot" w:hAnsi="Didot" w:cs="Didot"/>
          <w:sz w:val="22"/>
          <w:szCs w:val="22"/>
          <w:lang w:val="en-US"/>
        </w:rPr>
        <w:t xml:space="preserve">e Arab Peninsula. </w:t>
      </w:r>
      <w:proofErr w:type="gramStart"/>
      <w:r w:rsidR="00AE2E9C" w:rsidRPr="008B4D4B">
        <w:rPr>
          <w:rFonts w:ascii="Didot" w:hAnsi="Didot" w:cs="Didot"/>
          <w:sz w:val="22"/>
          <w:szCs w:val="22"/>
          <w:lang w:val="en-US"/>
        </w:rPr>
        <w:t xml:space="preserve">Saudi </w:t>
      </w:r>
      <w:r w:rsidR="00AE2E9C" w:rsidRPr="008B4D4B">
        <w:rPr>
          <w:rFonts w:ascii="Didot" w:hAnsi="Didot" w:cs="Didot"/>
          <w:sz w:val="22"/>
          <w:szCs w:val="22"/>
          <w:lang w:val="en-US"/>
        </w:rPr>
        <w:lastRenderedPageBreak/>
        <w:t xml:space="preserve">Medical </w:t>
      </w:r>
      <w:r w:rsidRPr="008B4D4B">
        <w:rPr>
          <w:rFonts w:ascii="Didot" w:hAnsi="Didot" w:cs="Didot"/>
          <w:sz w:val="22"/>
          <w:szCs w:val="22"/>
          <w:lang w:val="en-US"/>
        </w:rPr>
        <w:t>Journal, 28(2), 241-248.</w:t>
      </w:r>
      <w:proofErr w:type="gramEnd"/>
    </w:p>
    <w:p w14:paraId="7A2E385F" w14:textId="77777777" w:rsidR="00160E26" w:rsidRPr="008B4D4B" w:rsidRDefault="00160E26" w:rsidP="008A7E29">
      <w:pPr>
        <w:jc w:val="both"/>
        <w:rPr>
          <w:rFonts w:ascii="Didot" w:hAnsi="Didot" w:cs="Didot"/>
          <w:color w:val="121212"/>
          <w:sz w:val="22"/>
          <w:szCs w:val="22"/>
          <w:lang w:val="en-US"/>
        </w:rPr>
        <w:sectPr w:rsidR="00160E26" w:rsidRPr="008B4D4B" w:rsidSect="00160E26">
          <w:type w:val="continuous"/>
          <w:pgSz w:w="11900" w:h="16840"/>
          <w:pgMar w:top="1440" w:right="1800" w:bottom="1440" w:left="1800" w:header="708" w:footer="708" w:gutter="0"/>
          <w:pgNumType w:start="1"/>
          <w:cols w:space="708"/>
          <w:docGrid w:linePitch="360"/>
        </w:sectPr>
      </w:pPr>
    </w:p>
    <w:p w14:paraId="55D613F2" w14:textId="77777777" w:rsidR="00362AAD" w:rsidRPr="008B4D4B" w:rsidRDefault="00362AAD" w:rsidP="008A7E29">
      <w:pPr>
        <w:pBdr>
          <w:bottom w:val="single" w:sz="6" w:space="1" w:color="auto"/>
        </w:pBdr>
        <w:jc w:val="both"/>
        <w:rPr>
          <w:rFonts w:ascii="Didot" w:hAnsi="Didot" w:cs="Didot"/>
          <w:color w:val="121212"/>
          <w:sz w:val="22"/>
          <w:szCs w:val="22"/>
          <w:lang w:val="en-US"/>
        </w:rPr>
      </w:pPr>
    </w:p>
    <w:p w14:paraId="4314A7DC" w14:textId="77777777" w:rsidR="002B35BA" w:rsidRPr="006916FC" w:rsidRDefault="002B35BA" w:rsidP="008A7E29">
      <w:pPr>
        <w:jc w:val="both"/>
        <w:rPr>
          <w:rFonts w:ascii="Didot" w:hAnsi="Didot" w:cs="Didot"/>
          <w:b/>
          <w:color w:val="121212"/>
          <w:sz w:val="28"/>
          <w:szCs w:val="28"/>
          <w:lang w:val="en-US"/>
        </w:rPr>
      </w:pPr>
    </w:p>
    <w:p w14:paraId="10C8152A" w14:textId="77777777" w:rsidR="000D6A2E" w:rsidRPr="006916FC" w:rsidRDefault="000D6A2E" w:rsidP="008A7E29">
      <w:pPr>
        <w:pStyle w:val="Heading2"/>
        <w:jc w:val="both"/>
        <w:rPr>
          <w:rFonts w:ascii="Didot" w:hAnsi="Didot" w:cs="Didot"/>
          <w:color w:val="auto"/>
          <w:sz w:val="34"/>
          <w:szCs w:val="34"/>
        </w:rPr>
      </w:pPr>
      <w:bookmarkStart w:id="35" w:name="_Toc272639900"/>
      <w:bookmarkStart w:id="36" w:name="_Toc272645023"/>
      <w:r w:rsidRPr="006916FC">
        <w:rPr>
          <w:rFonts w:ascii="Didot" w:hAnsi="Didot" w:cs="Didot"/>
          <w:color w:val="auto"/>
          <w:sz w:val="34"/>
          <w:szCs w:val="34"/>
        </w:rPr>
        <w:t>Charlotte Watts</w:t>
      </w:r>
      <w:bookmarkEnd w:id="35"/>
      <w:bookmarkEnd w:id="36"/>
      <w:r w:rsidRPr="006916FC">
        <w:rPr>
          <w:rFonts w:ascii="Didot" w:hAnsi="Didot" w:cs="Didot"/>
          <w:color w:val="auto"/>
          <w:sz w:val="34"/>
          <w:szCs w:val="34"/>
        </w:rPr>
        <w:t xml:space="preserve"> </w:t>
      </w:r>
    </w:p>
    <w:p w14:paraId="66E0B576" w14:textId="77777777" w:rsidR="00362AAD" w:rsidRPr="006916FC" w:rsidRDefault="00362AAD" w:rsidP="008A7E29">
      <w:pPr>
        <w:jc w:val="both"/>
        <w:rPr>
          <w:rFonts w:ascii="Didot" w:hAnsi="Didot" w:cs="Didot"/>
          <w:b/>
          <w:color w:val="121212"/>
          <w:sz w:val="28"/>
          <w:szCs w:val="28"/>
          <w:lang w:val="en-US"/>
        </w:rPr>
      </w:pPr>
    </w:p>
    <w:p w14:paraId="559E5B77"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0A787712" w14:textId="77777777" w:rsidR="002B35BA" w:rsidRPr="006916FC" w:rsidRDefault="002B35BA" w:rsidP="008A7E29">
      <w:pPr>
        <w:jc w:val="both"/>
        <w:rPr>
          <w:rFonts w:ascii="Didot" w:hAnsi="Didot" w:cs="Didot"/>
          <w:b/>
          <w:color w:val="121212"/>
          <w:lang w:val="en-US"/>
        </w:rPr>
      </w:pPr>
    </w:p>
    <w:p w14:paraId="3727B7C7"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Charlotte Watts is Head of the Social and Mathematical Epidemiology Group and founding director of the Gender, Violence and Health Centre, in the Department for Global Health and Development at LSHTM. Originally trained as a mathematician, with further training in epidemiology, economics and social science methods, she has twenty years experience in international HIV and violence research, bringing a strong multi-disciplinary perspective to the complex challenge of addressing violence against women and HIV in low and middle income countries.</w:t>
      </w:r>
    </w:p>
    <w:p w14:paraId="09C21514" w14:textId="77777777" w:rsidR="000D6A2E" w:rsidRPr="008B4D4B" w:rsidRDefault="000D6A2E" w:rsidP="008A7E29">
      <w:pPr>
        <w:jc w:val="both"/>
        <w:rPr>
          <w:rFonts w:ascii="Didot" w:hAnsi="Didot" w:cs="Didot"/>
          <w:color w:val="121212"/>
          <w:sz w:val="22"/>
          <w:szCs w:val="22"/>
          <w:lang w:val="en-US"/>
        </w:rPr>
      </w:pPr>
      <w:r w:rsidRPr="008B4D4B">
        <w:rPr>
          <w:rFonts w:ascii="Didot" w:hAnsi="Didot" w:cs="Didot"/>
          <w:color w:val="121212"/>
          <w:sz w:val="22"/>
          <w:szCs w:val="22"/>
          <w:lang w:val="en-US"/>
        </w:rPr>
        <w:t>Charlotte has more than 130 publications in peer-reviewed journals, leads a large multi-disciplinary research team and manages a large portfolio of research grants. This includes serving as Research Director of the DFID funded STRIVE structural drivers HIV Research Programme Consortium; Chair of the Expert Working Group to Assess the Global Burden of Inter-Personal Violence; and principal investigator on three cluster randomized controlled trials to assess the impact of different models of intimate partner violence prevention in sub-Saharan Africa. Senior positions include acting as a core research team member for the WHO multi-country study on Women's Health and Domestic Violence, and senior advisor to the IMAGE micro-finance and participatory gender training intervention in rural South Africa. She has served on Expert Consultations for UNAIDS, WHO, the World Bank, UNESCO and UNICEF, and was an organizing committee member for the US Institute of Medicine, The Contagion of Violence: A workshop of the Forum on Global Violence Prevention.</w:t>
      </w:r>
    </w:p>
    <w:p w14:paraId="75AF5430" w14:textId="77777777" w:rsidR="000D6A2E" w:rsidRPr="006916FC" w:rsidRDefault="000D6A2E" w:rsidP="008A7E29">
      <w:pPr>
        <w:pBdr>
          <w:bottom w:val="single" w:sz="6" w:space="1" w:color="auto"/>
        </w:pBdr>
        <w:jc w:val="both"/>
        <w:rPr>
          <w:rFonts w:ascii="Didot" w:hAnsi="Didot" w:cs="Didot"/>
          <w:color w:val="121212"/>
          <w:lang w:val="en-US"/>
        </w:rPr>
      </w:pPr>
    </w:p>
    <w:p w14:paraId="623DB0EB" w14:textId="77777777" w:rsidR="001A057F" w:rsidRPr="006916FC" w:rsidRDefault="001A057F" w:rsidP="008A7E29">
      <w:pPr>
        <w:jc w:val="both"/>
        <w:rPr>
          <w:rFonts w:ascii="Didot" w:hAnsi="Didot" w:cs="Didot"/>
          <w:color w:val="121212"/>
          <w:lang w:val="en-US"/>
        </w:rPr>
      </w:pPr>
    </w:p>
    <w:p w14:paraId="73B90E65" w14:textId="77777777" w:rsidR="00362AAD" w:rsidRPr="006916FC" w:rsidRDefault="00362AAD" w:rsidP="008A7E29">
      <w:pPr>
        <w:jc w:val="both"/>
        <w:rPr>
          <w:rFonts w:ascii="Didot" w:hAnsi="Didot" w:cs="Didot"/>
          <w:b/>
          <w:lang w:val="en-US"/>
        </w:rPr>
      </w:pPr>
    </w:p>
    <w:p w14:paraId="1D6A2F88" w14:textId="77777777" w:rsidR="000D6A2E" w:rsidRPr="006916FC" w:rsidRDefault="000D6A2E" w:rsidP="008A7E29">
      <w:pPr>
        <w:pStyle w:val="Heading2"/>
        <w:jc w:val="both"/>
        <w:rPr>
          <w:rFonts w:ascii="Didot" w:hAnsi="Didot" w:cs="Didot"/>
          <w:color w:val="auto"/>
          <w:sz w:val="34"/>
          <w:szCs w:val="34"/>
        </w:rPr>
      </w:pPr>
      <w:bookmarkStart w:id="37" w:name="_Toc272639901"/>
      <w:bookmarkStart w:id="38" w:name="_Toc272645024"/>
      <w:r w:rsidRPr="006916FC">
        <w:rPr>
          <w:rFonts w:ascii="Didot" w:hAnsi="Didot" w:cs="Didot"/>
          <w:color w:val="auto"/>
          <w:sz w:val="34"/>
          <w:szCs w:val="34"/>
        </w:rPr>
        <w:t>Joy Ngozi Ezeilo</w:t>
      </w:r>
      <w:bookmarkEnd w:id="37"/>
      <w:bookmarkEnd w:id="38"/>
    </w:p>
    <w:p w14:paraId="0DAE2B2F" w14:textId="77777777" w:rsidR="00362AAD" w:rsidRPr="006916FC" w:rsidRDefault="00362AAD" w:rsidP="008A7E29">
      <w:pPr>
        <w:jc w:val="both"/>
        <w:rPr>
          <w:rFonts w:ascii="Didot" w:hAnsi="Didot" w:cs="Didot"/>
          <w:b/>
          <w:color w:val="121212"/>
          <w:lang w:val="en-US"/>
        </w:rPr>
      </w:pPr>
    </w:p>
    <w:p w14:paraId="6DBB5515"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4A7CA057" w14:textId="77777777" w:rsidR="002B35BA" w:rsidRPr="006916FC" w:rsidRDefault="002B35BA" w:rsidP="008A7E29">
      <w:pPr>
        <w:jc w:val="both"/>
        <w:rPr>
          <w:rFonts w:ascii="Didot" w:hAnsi="Didot" w:cs="Didot"/>
          <w:b/>
          <w:color w:val="121212"/>
          <w:lang w:val="en-US"/>
        </w:rPr>
      </w:pPr>
    </w:p>
    <w:p w14:paraId="46BBEA82"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Dr. Ezeilo is an activist and versatile legal scholar recognized as a leading authority in the field of human rights, especially on the rights of women and children. She teaches Law at the Department of Public and Private Law, Faculty of Law, University of Nigeria and pioneered, since 1997</w:t>
      </w:r>
      <w:proofErr w:type="gramStart"/>
      <w:r w:rsidRPr="008B4D4B">
        <w:rPr>
          <w:rFonts w:ascii="Didot" w:hAnsi="Didot" w:cs="Didot"/>
          <w:color w:val="121212"/>
          <w:sz w:val="22"/>
          <w:szCs w:val="22"/>
          <w:lang w:val="en-US"/>
        </w:rPr>
        <w:t>,  the</w:t>
      </w:r>
      <w:proofErr w:type="gramEnd"/>
      <w:r w:rsidRPr="008B4D4B">
        <w:rPr>
          <w:rFonts w:ascii="Didot" w:hAnsi="Didot" w:cs="Didot"/>
          <w:color w:val="121212"/>
          <w:sz w:val="22"/>
          <w:szCs w:val="22"/>
          <w:lang w:val="en-US"/>
        </w:rPr>
        <w:t xml:space="preserve"> teaching of the Course, "Women, Children and the Law"  making her Faculty and University the first to do so in Nigeria.</w:t>
      </w:r>
    </w:p>
    <w:p w14:paraId="32205C03"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She was appointed by the UN Human Rights Council as the UN Special Rapporteur on Trafficking in Persons, especially women and children (August 1, </w:t>
      </w:r>
      <w:r w:rsidRPr="008B4D4B">
        <w:rPr>
          <w:rFonts w:ascii="Didot" w:hAnsi="Didot" w:cs="Didot"/>
          <w:color w:val="121212"/>
          <w:sz w:val="22"/>
          <w:szCs w:val="22"/>
          <w:lang w:val="en-US"/>
        </w:rPr>
        <w:lastRenderedPageBreak/>
        <w:t>2008 to July 31st 2014), and served in that capacity globally; monitoring and reporting to both the Human Rights Council in Geneva as well as the UN General Assembly, New York. She was recently appointed by the UN Secretary General, December 2013 as a member of the Board of Trustees, UN Voluntary Trust Fund for Victims of Trafficking.</w:t>
      </w:r>
    </w:p>
    <w:p w14:paraId="1E76B051" w14:textId="77777777" w:rsidR="000D6A2E" w:rsidRPr="008B4D4B" w:rsidRDefault="000D6A2E"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Joy Ezeilo is also the founding director of WomenAid Collective (WACOL), a national organization that promotes human rights of women and young people. She is a recipient of the prestigious British Chevening scholarship (1995) and a grantee of the John D. and Catherine T. MacArthur Foundation's Funds for Leadership Development (1998). She has also received several national and international awards, including being conferred with the national honour of Officer of the Order of Niger (OON) in 2006 by the then President Olusegun Obasanjo (GCFR) in recognition of her outstanding contributions in the area of nation building, legal scholarship, advocacy, civil society movement and community service.</w:t>
      </w:r>
    </w:p>
    <w:p w14:paraId="4A56C301" w14:textId="77777777" w:rsidR="000D6A2E" w:rsidRPr="008B4D4B" w:rsidRDefault="000D6A2E"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Dr. Ezeilo is a visiting professor to several universities, especially in North America and a regent Professor, University of California, Riverside (2001). She has served in various governmental capacities, including as a Commissioner for Gender and Social Development, Enugu State, and also a member of the Governing Council, Nigerian Institute for International Affairs (NIIA). In April, 2013 she was recognized by Newsweek/Daily Beast International Magazine, USA as one of the 125 women of impact in the world for her work, especially in combating human trafficking--a modern day slavery.</w:t>
      </w:r>
    </w:p>
    <w:p w14:paraId="7D83E450" w14:textId="77777777" w:rsidR="001A057F" w:rsidRPr="006916FC" w:rsidRDefault="001A057F"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47DAC0EE"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 xml:space="preserve"> Abstract</w:t>
      </w:r>
    </w:p>
    <w:p w14:paraId="2A20094A" w14:textId="77777777" w:rsidR="002B35BA" w:rsidRPr="006916FC" w:rsidRDefault="002B35BA" w:rsidP="008A7E29">
      <w:pPr>
        <w:jc w:val="both"/>
        <w:rPr>
          <w:rFonts w:ascii="Didot" w:hAnsi="Didot" w:cs="Didot"/>
          <w:b/>
          <w:color w:val="121212"/>
          <w:lang w:val="en-US"/>
        </w:rPr>
      </w:pPr>
    </w:p>
    <w:p w14:paraId="2E284BA5" w14:textId="77777777" w:rsidR="00AC06AD" w:rsidRPr="006916FC" w:rsidRDefault="00AC06AD"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Strategies to Reduce Human Trafficking and Protect the Human Rights of Vulnerable Groups</w:t>
      </w:r>
    </w:p>
    <w:p w14:paraId="5AEAC2F8" w14:textId="77777777" w:rsidR="000D6A2E" w:rsidRPr="008B4D4B" w:rsidRDefault="00AC06AD" w:rsidP="008A7E29">
      <w:pPr>
        <w:pBdr>
          <w:bottom w:val="single" w:sz="6" w:space="1" w:color="auto"/>
        </w:pBdr>
        <w:jc w:val="both"/>
        <w:rPr>
          <w:rFonts w:ascii="Didot" w:hAnsi="Didot" w:cs="Didot"/>
          <w:color w:val="121212"/>
          <w:sz w:val="22"/>
          <w:szCs w:val="22"/>
          <w:lang w:val="en-US"/>
        </w:rPr>
      </w:pPr>
      <w:r w:rsidRPr="008B4D4B">
        <w:rPr>
          <w:rFonts w:ascii="Didot" w:hAnsi="Didot" w:cs="Didot"/>
          <w:color w:val="121212"/>
          <w:sz w:val="22"/>
          <w:szCs w:val="22"/>
          <w:lang w:val="en-US"/>
        </w:rPr>
        <w:t>Unarguably, trafficking knows no borders and affects millions of women, children and men worldwide culminating in egregious violations of their human rights. Although, violence and exploitation foisted by trafficking in persons is not limited to sexual but extends to forced labor or services, slavery or practices similar to slavery, servitude of the removal of organs; nevertheless, sex trafficking is a prevalent form of trafficking affecting disproportionately women and girls across the world with serious repercussions on their human rights, sexual and reproductive rights.  As the United Nations Special Rapporteur on Trafficking in Persons, especially women and children with a mandate to "focus on the human rights aspects of the victims of trafficking in persons, especially women and children" my global strategic vision has been hinged on eleven pillars of 5 Ps, 3 R's and 3 C's, which I consider crucial to ending human trafficking and protecting the human rights of victims and those vulnerable to being trafficked. My presentation will examine some of these pillars and in particular innovative human and victim centered approach that I have found and adopted as good and workable strategies, including recommendations that both public and private parties can imbibe to effectively and in a sustainable manner combat human trafficking.</w:t>
      </w:r>
    </w:p>
    <w:p w14:paraId="7B468F9D" w14:textId="77777777" w:rsidR="001A057F" w:rsidRPr="006916FC" w:rsidRDefault="001A057F" w:rsidP="008A7E29">
      <w:pPr>
        <w:pBdr>
          <w:bottom w:val="single" w:sz="6" w:space="1" w:color="auto"/>
        </w:pBdr>
        <w:jc w:val="both"/>
        <w:rPr>
          <w:rFonts w:ascii="Didot" w:hAnsi="Didot" w:cs="Didot"/>
          <w:color w:val="121212"/>
          <w:sz w:val="22"/>
          <w:szCs w:val="22"/>
          <w:lang w:val="en-US"/>
        </w:rPr>
      </w:pPr>
    </w:p>
    <w:p w14:paraId="5D006CF9" w14:textId="77777777" w:rsidR="004F6BB2" w:rsidRPr="006916FC" w:rsidRDefault="004F6BB2" w:rsidP="008A7E29">
      <w:pPr>
        <w:jc w:val="both"/>
        <w:rPr>
          <w:rFonts w:ascii="Didot" w:hAnsi="Didot" w:cs="Didot"/>
          <w:color w:val="121212"/>
          <w:sz w:val="22"/>
          <w:szCs w:val="22"/>
          <w:lang w:val="en-US"/>
        </w:rPr>
      </w:pPr>
    </w:p>
    <w:p w14:paraId="74617EDF" w14:textId="76DFD98A" w:rsidR="004F6BB2" w:rsidRPr="006916FC" w:rsidRDefault="0047351E" w:rsidP="008A7E29">
      <w:pPr>
        <w:jc w:val="both"/>
        <w:rPr>
          <w:rFonts w:ascii="Didot" w:hAnsi="Didot" w:cs="Didot"/>
          <w:b/>
          <w:color w:val="121212"/>
          <w:sz w:val="22"/>
          <w:szCs w:val="22"/>
          <w:lang w:val="en-US"/>
        </w:rPr>
      </w:pPr>
      <w:r w:rsidRPr="006916FC">
        <w:rPr>
          <w:rFonts w:ascii="Didot" w:hAnsi="Didot" w:cs="Didot"/>
          <w:b/>
          <w:color w:val="121212"/>
          <w:sz w:val="22"/>
          <w:szCs w:val="22"/>
          <w:lang w:val="en-US"/>
        </w:rPr>
        <w:t>Summary</w:t>
      </w:r>
    </w:p>
    <w:p w14:paraId="606DFF16" w14:textId="77777777" w:rsidR="0047351E" w:rsidRPr="006916FC" w:rsidRDefault="0047351E" w:rsidP="008A7E29">
      <w:pPr>
        <w:jc w:val="both"/>
        <w:rPr>
          <w:rFonts w:ascii="Didot" w:hAnsi="Didot" w:cs="Didot"/>
          <w:color w:val="121212"/>
          <w:sz w:val="22"/>
          <w:szCs w:val="22"/>
          <w:lang w:val="en-US"/>
        </w:rPr>
      </w:pPr>
    </w:p>
    <w:p w14:paraId="720FBACD" w14:textId="77777777" w:rsidR="0047351E" w:rsidRPr="006916FC" w:rsidRDefault="0047351E" w:rsidP="008A7E29">
      <w:pPr>
        <w:jc w:val="both"/>
        <w:rPr>
          <w:rFonts w:ascii="Didot" w:hAnsi="Didot" w:cs="Didot"/>
          <w:b/>
          <w:color w:val="121212"/>
          <w:sz w:val="22"/>
          <w:szCs w:val="22"/>
          <w:lang w:val="en-US"/>
        </w:rPr>
      </w:pPr>
      <w:r w:rsidRPr="006916FC">
        <w:rPr>
          <w:rFonts w:ascii="Didot" w:hAnsi="Didot" w:cs="Didot"/>
          <w:b/>
          <w:color w:val="121212"/>
          <w:sz w:val="22"/>
          <w:szCs w:val="22"/>
          <w:lang w:val="en-US"/>
        </w:rPr>
        <w:t xml:space="preserve">Strategies to Reduce Human Trafficking and Protect the Human Rights of Vulnerable Groups </w:t>
      </w:r>
    </w:p>
    <w:p w14:paraId="3C58F162" w14:textId="77777777" w:rsidR="0047351E" w:rsidRPr="006916FC" w:rsidRDefault="0047351E" w:rsidP="008A7E29">
      <w:pPr>
        <w:jc w:val="both"/>
        <w:rPr>
          <w:rFonts w:ascii="Didot" w:hAnsi="Didot" w:cs="Didot"/>
          <w:b/>
          <w:bCs/>
          <w:color w:val="121212"/>
          <w:sz w:val="22"/>
          <w:szCs w:val="22"/>
          <w:lang w:val="en-US"/>
        </w:rPr>
      </w:pPr>
    </w:p>
    <w:p w14:paraId="3B310176" w14:textId="77777777" w:rsidR="0047351E" w:rsidRPr="008B4D4B" w:rsidRDefault="0047351E" w:rsidP="008A7E29">
      <w:pPr>
        <w:numPr>
          <w:ilvl w:val="0"/>
          <w:numId w:val="33"/>
        </w:numPr>
        <w:jc w:val="both"/>
        <w:rPr>
          <w:rFonts w:ascii="Didot" w:hAnsi="Didot" w:cs="Didot"/>
          <w:b/>
          <w:color w:val="121212"/>
          <w:sz w:val="22"/>
          <w:szCs w:val="22"/>
          <w:lang w:val="en-US"/>
        </w:rPr>
      </w:pPr>
      <w:r w:rsidRPr="008B4D4B">
        <w:rPr>
          <w:rFonts w:ascii="Didot" w:hAnsi="Didot" w:cs="Didot"/>
          <w:b/>
          <w:color w:val="121212"/>
          <w:sz w:val="22"/>
          <w:szCs w:val="22"/>
          <w:lang w:val="en-US"/>
        </w:rPr>
        <w:t>Introduction: Understanding what’s human trafficking: Definition &amp; conceptual issues, including legal and policy framework</w:t>
      </w:r>
    </w:p>
    <w:p w14:paraId="6211E2EF"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Human trafficking or trafficking in persons or trafficking in human beings is a form of violence, which is better addressed as a gender-based violence affecting, women, men and children. However, it disproportionately affects women and girls, especially when it comes to sex trafficking, domestic servitude and servile marriage. Trafficked victims are economically and sexually exploited, held in sexual slavery, domestic servitude and other similar abusive conditions that constitute violence and violate their human dignity.</w:t>
      </w:r>
    </w:p>
    <w:p w14:paraId="633BC735"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Trafficking by its nature, characteristics and consequences is intertwined with violence chiefly directed at the female gender and shares underlying causes with violence against women, which includes unequal power relations, gender inequalities, feminization of poverty, sexual objectification and commercialization of women and ingrained sex stereotypes and gender based discrimination.  Gender based violence, including trafficking is exacerbated by modern socio-economic changes including globalization, cultural and religious norms that are used to justify violence perpetrated against women</w:t>
      </w:r>
    </w:p>
    <w:p w14:paraId="07563B09"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The ugly phenomenon of trafficking in persons is growing globally and one cannot therefore discuss violence reduction by 50 percent in the next three decades without specific focus on human trafficking that arguably contribute to about 50 per cent of the global phenomenon of violence, especially if one takes into account the role violence play as a cause and consequence of trafficking.  The Millennium Declaration 2000 in realization of the magnitude of the problem urged States to intensify their efforts to fight trafficking in persons while the </w:t>
      </w:r>
      <w:r w:rsidRPr="008B4D4B">
        <w:rPr>
          <w:rFonts w:ascii="Didot" w:hAnsi="Didot" w:cs="Didot"/>
          <w:i/>
          <w:color w:val="121212"/>
          <w:sz w:val="22"/>
          <w:szCs w:val="22"/>
          <w:lang w:val="en-US"/>
        </w:rPr>
        <w:t>‘Recommended Principles and Guidelines on Human Rights and Human Trafficking’</w:t>
      </w:r>
      <w:r w:rsidRPr="008B4D4B">
        <w:rPr>
          <w:rFonts w:ascii="Didot" w:hAnsi="Didot" w:cs="Didot"/>
          <w:color w:val="121212"/>
          <w:sz w:val="22"/>
          <w:szCs w:val="22"/>
          <w:lang w:val="en-US"/>
        </w:rPr>
        <w:t xml:space="preserve"> developed by the United Nations Office of the High Commissioner on Human Rights recognized in Guideline 1 that:  violations of human rights are both a cause and a consequence of human trafficking; and therefore States and intergovernmental organizations shall ensure that their interventions address the factors that increase vulnerability to trafficking, including inequality, poverty and all forms of discrimination.</w:t>
      </w:r>
    </w:p>
    <w:p w14:paraId="122388A3" w14:textId="77777777" w:rsidR="0047351E" w:rsidRPr="008B4D4B" w:rsidRDefault="0047351E" w:rsidP="008A7E29">
      <w:pPr>
        <w:jc w:val="both"/>
        <w:rPr>
          <w:rFonts w:ascii="Didot" w:hAnsi="Didot" w:cs="Didot"/>
          <w:color w:val="121212"/>
          <w:sz w:val="22"/>
          <w:szCs w:val="22"/>
          <w:lang w:val="en-GB"/>
        </w:rPr>
      </w:pPr>
      <w:r w:rsidRPr="008B4D4B">
        <w:rPr>
          <w:rFonts w:ascii="Didot" w:hAnsi="Didot" w:cs="Didot"/>
          <w:color w:val="121212"/>
          <w:sz w:val="22"/>
          <w:szCs w:val="22"/>
          <w:lang w:val="en-US"/>
        </w:rPr>
        <w:t xml:space="preserve">A host of international, regional and national legal and policy regimes prohibit human trafficking recognizing the violence and violations it perpetuates on its victims. These instruments include but not limited to: The Convention on Elimination of All Forms of Discrimination Against Women (CEDAW); the Convention on the Rights of the Child (CRC: 1989) and its Protocol on Sale of Children, Child Prostitution and Pornography; the Inter - American Convention on the Prevention, Punishment and Eradication of Violence against Women (1994); the Council of Europe Convention on Traffic in Human Beings (2005); the African Charter on Human and Peoples Rights (1981) and its Protocol on the Rights of Women in Africa (2003) amongst others. The UN Protocol to Prevent, Suppress and Punish Trafficking in Persons, Especially Women and Children (the Trafficking Protocol) supplementing the UN Convention on Transnational </w:t>
      </w:r>
      <w:r w:rsidRPr="008B4D4B">
        <w:rPr>
          <w:rFonts w:ascii="Didot" w:hAnsi="Didot" w:cs="Didot"/>
          <w:color w:val="121212"/>
          <w:sz w:val="22"/>
          <w:szCs w:val="22"/>
          <w:lang w:val="en-US"/>
        </w:rPr>
        <w:lastRenderedPageBreak/>
        <w:t xml:space="preserve">Organized Crime (UNTOC: 2000) articulates the most comprehensive definition of trafficking, which </w:t>
      </w:r>
      <w:r w:rsidRPr="008B4D4B">
        <w:rPr>
          <w:rFonts w:ascii="Didot" w:hAnsi="Didot" w:cs="Didot"/>
          <w:color w:val="121212"/>
          <w:sz w:val="22"/>
          <w:szCs w:val="22"/>
          <w:lang w:val="en-GB"/>
        </w:rPr>
        <w:t>covers the use of minors for commercial sexual activity even if there is no force, fraud, or coercion.</w:t>
      </w:r>
    </w:p>
    <w:p w14:paraId="783D89D0" w14:textId="77777777" w:rsidR="0047351E" w:rsidRPr="008B4D4B" w:rsidRDefault="0047351E" w:rsidP="008A7E29">
      <w:pPr>
        <w:numPr>
          <w:ilvl w:val="0"/>
          <w:numId w:val="33"/>
        </w:numPr>
        <w:jc w:val="both"/>
        <w:rPr>
          <w:rFonts w:ascii="Didot" w:hAnsi="Didot" w:cs="Didot"/>
          <w:b/>
          <w:color w:val="121212"/>
          <w:sz w:val="22"/>
          <w:szCs w:val="22"/>
          <w:lang w:val="en-US"/>
        </w:rPr>
      </w:pPr>
      <w:r w:rsidRPr="008B4D4B">
        <w:rPr>
          <w:rFonts w:ascii="Didot" w:hAnsi="Didot" w:cs="Didot"/>
          <w:b/>
          <w:color w:val="121212"/>
          <w:sz w:val="22"/>
          <w:szCs w:val="22"/>
          <w:lang w:val="en-US"/>
        </w:rPr>
        <w:t>A Review of Evidence: Scale of trafficking, causes and consequences</w:t>
      </w:r>
    </w:p>
    <w:p w14:paraId="6BDCDE08"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Trafficking in persons is unfortunately thriving and evolving in today’s world. My </w:t>
      </w:r>
      <w:r w:rsidRPr="008B4D4B">
        <w:rPr>
          <w:rFonts w:ascii="Didot" w:hAnsi="Didot" w:cs="Didot"/>
          <w:color w:val="121212"/>
          <w:sz w:val="22"/>
          <w:szCs w:val="22"/>
          <w:lang w:val="en-GB"/>
        </w:rPr>
        <w:t xml:space="preserve">work in the last six years (2008- 2014) as the Special Rapporteur on Trafficking in Persons, Especially Women and Children has confirmed that the problem of human trafficking continues to be endemic in all parts of the world and that it is an ever evolving phenomenon. </w:t>
      </w:r>
      <w:r w:rsidRPr="008B4D4B">
        <w:rPr>
          <w:rFonts w:ascii="Didot" w:hAnsi="Didot" w:cs="Didot"/>
          <w:color w:val="121212"/>
          <w:sz w:val="22"/>
          <w:szCs w:val="22"/>
          <w:lang w:val="en-US"/>
        </w:rPr>
        <w:t xml:space="preserve"> It remains one of the fastest growing criminal activities in the world, which results in serious breaches of human rights. Although, very difficult to quantify, it is hugely underestimated because of its insidious, complex and dynamic nature. </w:t>
      </w:r>
    </w:p>
    <w:p w14:paraId="133EC149" w14:textId="77777777" w:rsidR="0047351E" w:rsidRPr="008B4D4B" w:rsidRDefault="0047351E" w:rsidP="008A7E29">
      <w:pPr>
        <w:jc w:val="both"/>
        <w:rPr>
          <w:rFonts w:ascii="Didot" w:hAnsi="Didot" w:cs="Didot"/>
          <w:color w:val="121212"/>
          <w:sz w:val="22"/>
          <w:szCs w:val="22"/>
          <w:u w:val="single"/>
          <w:lang w:val="en-US"/>
        </w:rPr>
      </w:pPr>
      <w:r w:rsidRPr="008B4D4B">
        <w:rPr>
          <w:rFonts w:ascii="Didot" w:hAnsi="Didot" w:cs="Didot"/>
          <w:color w:val="121212"/>
          <w:sz w:val="22"/>
          <w:szCs w:val="22"/>
          <w:lang w:val="en-US"/>
        </w:rPr>
        <w:t xml:space="preserve">Quality data is scarce and problematic in the field of human trafficking because they often include smuggled persons, as well as illegal migrants. </w:t>
      </w:r>
      <w:proofErr w:type="gramStart"/>
      <w:r w:rsidRPr="008B4D4B">
        <w:rPr>
          <w:rFonts w:ascii="Didot" w:hAnsi="Didot" w:cs="Didot"/>
          <w:color w:val="121212"/>
          <w:sz w:val="22"/>
          <w:szCs w:val="22"/>
          <w:lang w:val="en-US"/>
        </w:rPr>
        <w:t>Another major reason is that victims, particularly adult victims trafficked for sexual exploitation</w:t>
      </w:r>
      <w:proofErr w:type="gramEnd"/>
      <w:r w:rsidRPr="008B4D4B">
        <w:rPr>
          <w:rFonts w:ascii="Didot" w:hAnsi="Didot" w:cs="Didot"/>
          <w:color w:val="121212"/>
          <w:sz w:val="22"/>
          <w:szCs w:val="22"/>
          <w:lang w:val="en-US"/>
        </w:rPr>
        <w:t xml:space="preserve">, </w:t>
      </w:r>
      <w:proofErr w:type="gramStart"/>
      <w:r w:rsidRPr="008B4D4B">
        <w:rPr>
          <w:rFonts w:ascii="Didot" w:hAnsi="Didot" w:cs="Didot"/>
          <w:color w:val="121212"/>
          <w:sz w:val="22"/>
          <w:szCs w:val="22"/>
          <w:lang w:val="en-US"/>
        </w:rPr>
        <w:t>rarely report their victimization</w:t>
      </w:r>
      <w:proofErr w:type="gramEnd"/>
      <w:r w:rsidRPr="008B4D4B">
        <w:rPr>
          <w:rFonts w:ascii="Didot" w:hAnsi="Didot" w:cs="Didot"/>
          <w:color w:val="121212"/>
          <w:sz w:val="22"/>
          <w:szCs w:val="22"/>
          <w:lang w:val="en-US"/>
        </w:rPr>
        <w:t>. Additional problem is that in many countries for example, there is no anti-trafficking legislation or where they exist they do not comprehensively defines what constitutes trafficking. There can be no registration of victims of a crime that does not legally exist. However, it is widely agreed that most internationally trafficked people are women and children of low socio-economic status, and the primary trafficking flows are from developing countries to more affluent countries. Internally, numbers can be even harder to obtain, and it is suggested that current numbers are greatly underestimated.</w:t>
      </w:r>
    </w:p>
    <w:p w14:paraId="6989C20B"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Notwithstanding the challenges of quality and reliable data to measure the scale of trafficking, statistics have shown that some 2.5 million people are at any given time recruited, entrapped, transported and exploited in a process called human trafficking or trafficking in persons. However, when you juxtapose this with the recent ILO world survey (2012) that shows that 20.9 million people that are in forced labour situation one is bound to shudder and conclude without much hesitation that the problem is far more than we know or care to acknowledge. </w:t>
      </w:r>
    </w:p>
    <w:p w14:paraId="64E6067F"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Increasingly, the use of ICT particularly the </w:t>
      </w:r>
      <w:proofErr w:type="gramStart"/>
      <w:r w:rsidRPr="008B4D4B">
        <w:rPr>
          <w:rFonts w:ascii="Didot" w:hAnsi="Didot" w:cs="Didot"/>
          <w:color w:val="121212"/>
          <w:sz w:val="22"/>
          <w:szCs w:val="22"/>
          <w:lang w:val="en-US"/>
        </w:rPr>
        <w:t>internet</w:t>
      </w:r>
      <w:proofErr w:type="gramEnd"/>
      <w:r w:rsidRPr="008B4D4B">
        <w:rPr>
          <w:rFonts w:ascii="Didot" w:hAnsi="Didot" w:cs="Didot"/>
          <w:color w:val="121212"/>
          <w:sz w:val="22"/>
          <w:szCs w:val="22"/>
          <w:lang w:val="en-US"/>
        </w:rPr>
        <w:t xml:space="preserve"> to recruit victims is making it more sophisticated and difficult to detect. The root causes of violence against women are similar to the root causes of trafficking in persons, especially women and children. It has been recognized that the relationship between poverty, gender inequalities and violence is a mutually reinforcing one. The common denominator for trafficked persons is the violence experienced which may be physical, sexual, emotional and psychological, including extreme economic and material deprivation. </w:t>
      </w:r>
    </w:p>
    <w:p w14:paraId="6794228E"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There is a </w:t>
      </w:r>
      <w:proofErr w:type="gramStart"/>
      <w:r w:rsidRPr="008B4D4B">
        <w:rPr>
          <w:rFonts w:ascii="Didot" w:hAnsi="Didot" w:cs="Didot"/>
          <w:color w:val="121212"/>
          <w:sz w:val="22"/>
          <w:szCs w:val="22"/>
          <w:lang w:val="en-US"/>
        </w:rPr>
        <w:t>long standing</w:t>
      </w:r>
      <w:proofErr w:type="gramEnd"/>
      <w:r w:rsidRPr="008B4D4B">
        <w:rPr>
          <w:rFonts w:ascii="Didot" w:hAnsi="Didot" w:cs="Didot"/>
          <w:color w:val="121212"/>
          <w:sz w:val="22"/>
          <w:szCs w:val="22"/>
          <w:lang w:val="en-US"/>
        </w:rPr>
        <w:t xml:space="preserve"> failure to protect women from gender based violence. We must therefore address economic, social and cultural issues particularly gender </w:t>
      </w:r>
      <w:proofErr w:type="gramStart"/>
      <w:r w:rsidRPr="008B4D4B">
        <w:rPr>
          <w:rFonts w:ascii="Didot" w:hAnsi="Didot" w:cs="Didot"/>
          <w:color w:val="121212"/>
          <w:sz w:val="22"/>
          <w:szCs w:val="22"/>
          <w:lang w:val="en-US"/>
        </w:rPr>
        <w:t>inequalities that causes</w:t>
      </w:r>
      <w:proofErr w:type="gramEnd"/>
      <w:r w:rsidRPr="008B4D4B">
        <w:rPr>
          <w:rFonts w:ascii="Didot" w:hAnsi="Didot" w:cs="Didot"/>
          <w:color w:val="121212"/>
          <w:sz w:val="22"/>
          <w:szCs w:val="22"/>
          <w:lang w:val="en-US"/>
        </w:rPr>
        <w:t xml:space="preserve"> gender based-violence and make women and girls vulnerable in order to effectively combat trafficking. For any intervention addressing human trafficking to be effective it must be based on human rights and victim centered approach. </w:t>
      </w:r>
    </w:p>
    <w:p w14:paraId="38FE9B6C" w14:textId="77777777" w:rsidR="0047351E" w:rsidRPr="008B4D4B" w:rsidRDefault="0047351E" w:rsidP="008A7E29">
      <w:pPr>
        <w:jc w:val="both"/>
        <w:rPr>
          <w:rFonts w:ascii="Didot" w:hAnsi="Didot" w:cs="Didot"/>
          <w:color w:val="121212"/>
          <w:sz w:val="22"/>
          <w:szCs w:val="22"/>
          <w:lang w:val="en-US"/>
        </w:rPr>
      </w:pPr>
    </w:p>
    <w:p w14:paraId="1A9D3F0D" w14:textId="77777777" w:rsidR="0047351E" w:rsidRPr="008B4D4B" w:rsidRDefault="0047351E" w:rsidP="008A7E29">
      <w:pPr>
        <w:numPr>
          <w:ilvl w:val="0"/>
          <w:numId w:val="33"/>
        </w:numPr>
        <w:jc w:val="both"/>
        <w:rPr>
          <w:rFonts w:ascii="Didot" w:hAnsi="Didot" w:cs="Didot"/>
          <w:b/>
          <w:color w:val="121212"/>
          <w:sz w:val="22"/>
          <w:szCs w:val="22"/>
          <w:lang w:val="en-US"/>
        </w:rPr>
      </w:pPr>
      <w:r w:rsidRPr="008B4D4B">
        <w:rPr>
          <w:rFonts w:ascii="Didot" w:hAnsi="Didot" w:cs="Didot"/>
          <w:b/>
          <w:color w:val="121212"/>
          <w:sz w:val="22"/>
          <w:szCs w:val="22"/>
          <w:lang w:val="en-US"/>
        </w:rPr>
        <w:t>Preventing and Combating trafficking in persons-global strategies of 5 Ps, 3 R’s and 3 C’s</w:t>
      </w:r>
    </w:p>
    <w:p w14:paraId="1D888DC5"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Prior to the adoption of the Trafficking Protocol in 2000, the Beijing Declaration succinctly captured in Paragraph 122 the fact that trafficking is a form of violence. Undoubtedly, efforts to combat trafficking in persons will not be effective unless </w:t>
      </w:r>
      <w:r w:rsidRPr="008B4D4B">
        <w:rPr>
          <w:rFonts w:ascii="Didot" w:hAnsi="Didot" w:cs="Didot"/>
          <w:color w:val="121212"/>
          <w:sz w:val="22"/>
          <w:szCs w:val="22"/>
          <w:lang w:val="en-US"/>
        </w:rPr>
        <w:lastRenderedPageBreak/>
        <w:t xml:space="preserve">they are centered on universal respect for the human rights of all individuals, particularly trafficked persons and persons at risk of being trafficked.  Victims of trafficking suffer grave violations of their fundamental rights; therefore it is crucial that any response to trafficking be constructed around the common goal of remedying such violations. Effective and sustainable fight against trafficking needs to be hinged on eleven pillars namely: the 5Ps (protection, prosecution, prevention, punishment, promotion of international cooperation), three victim-centered Rs (redress, rehabilitation and reintegration) and three Cs (capacity, coordination and cooperation), guided by international human rights law and standards. </w:t>
      </w:r>
    </w:p>
    <w:p w14:paraId="1AB39350"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There is a linkage, which I want to bring to the fore between achieving the Millennium Development Goals (MDGs) and tackling the root causes of trafficking. By addressing different aspects of poverty, the MDGs are intrinsically linked to the factors increasing vulnerability of people to trafficking. In analyzing the MDGs, it is important to note that MDGs, by the fact of helping to reduce vulnerability of people to trafficking, constitute an important contribution to the prevention of trafficking. Several authors report that the majority of prevention policies adopted to combat trafficking are mainly focused in increasing public awareness and education and consider that vulnerability “emerges as the missing link in formulating well-developed policies and practices” A focus on vulnerability will in fact enhance the human rights component of an anti-trafficking policy.</w:t>
      </w:r>
      <w:r w:rsidRPr="008B4D4B">
        <w:rPr>
          <w:rFonts w:ascii="Didot" w:hAnsi="Didot" w:cs="Didot"/>
          <w:b/>
          <w:color w:val="121212"/>
          <w:sz w:val="22"/>
          <w:szCs w:val="22"/>
          <w:vertAlign w:val="superscript"/>
          <w:lang w:val="en-US"/>
        </w:rPr>
        <w:footnoteReference w:id="1"/>
      </w:r>
      <w:r w:rsidRPr="008B4D4B">
        <w:rPr>
          <w:rFonts w:ascii="Didot" w:hAnsi="Didot" w:cs="Didot"/>
          <w:color w:val="121212"/>
          <w:sz w:val="22"/>
          <w:szCs w:val="22"/>
          <w:lang w:val="en-US"/>
        </w:rPr>
        <w:t xml:space="preserve"> </w:t>
      </w:r>
    </w:p>
    <w:p w14:paraId="6D8F3E61" w14:textId="77777777" w:rsidR="0047351E" w:rsidRPr="008B4D4B" w:rsidRDefault="0047351E" w:rsidP="008A7E29">
      <w:pPr>
        <w:jc w:val="both"/>
        <w:rPr>
          <w:rFonts w:ascii="Didot" w:hAnsi="Didot" w:cs="Didot"/>
          <w:b/>
          <w:color w:val="121212"/>
          <w:sz w:val="22"/>
          <w:szCs w:val="22"/>
          <w:lang w:val="en-US"/>
        </w:rPr>
      </w:pPr>
    </w:p>
    <w:p w14:paraId="2B59118A" w14:textId="77777777" w:rsidR="0047351E" w:rsidRPr="008B4D4B" w:rsidRDefault="0047351E" w:rsidP="008A7E29">
      <w:pPr>
        <w:numPr>
          <w:ilvl w:val="0"/>
          <w:numId w:val="33"/>
        </w:numPr>
        <w:jc w:val="both"/>
        <w:rPr>
          <w:rFonts w:ascii="Didot" w:hAnsi="Didot" w:cs="Didot"/>
          <w:b/>
          <w:color w:val="121212"/>
          <w:sz w:val="22"/>
          <w:szCs w:val="22"/>
          <w:lang w:val="en-US"/>
        </w:rPr>
      </w:pPr>
      <w:r w:rsidRPr="008B4D4B">
        <w:rPr>
          <w:rFonts w:ascii="Didot" w:hAnsi="Didot" w:cs="Didot"/>
          <w:b/>
          <w:color w:val="121212"/>
          <w:sz w:val="22"/>
          <w:szCs w:val="22"/>
          <w:lang w:val="en-US"/>
        </w:rPr>
        <w:t xml:space="preserve">Conclusion and recommendations </w:t>
      </w:r>
    </w:p>
    <w:p w14:paraId="1302B02E" w14:textId="77777777" w:rsidR="0047351E" w:rsidRPr="008B4D4B" w:rsidRDefault="0047351E" w:rsidP="008A7E29">
      <w:pPr>
        <w:jc w:val="both"/>
        <w:rPr>
          <w:rFonts w:ascii="Didot" w:hAnsi="Didot" w:cs="Didot"/>
          <w:b/>
          <w:color w:val="121212"/>
          <w:sz w:val="22"/>
          <w:szCs w:val="22"/>
          <w:lang w:val="en-US"/>
        </w:rPr>
      </w:pPr>
    </w:p>
    <w:p w14:paraId="692D8E67"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The long-term effects of human trafficking on victims are devastating; impacting not only on the individual victim but also on their family and the society at large. The severe trauma, shame and humiliation experienced by victims often prevent them from seeking treatment and support. Despite the severity of the problem, there exist capacity gaps on the part of key groups to respond effectively to trafficking and gender based violence particularly to identify, prevent and protect victims while bringing perpetrators to account. </w:t>
      </w:r>
    </w:p>
    <w:p w14:paraId="13BD0061"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GB"/>
        </w:rPr>
        <w:t>Trafficking in persons especially of women and children just like violence against women results in cumulative breaches of human rights, and this correlation needs to be recognized in any intervention effort. I believe that the real challenge is not just in adopting strategies that will effectively lead to catching the perpetrators and punishing them. Rather, it is preferable to put in place strategies that will focus equally on the victim by recognizing and redressing the violations suffered, empowering the victim to speak out without being doubly victimized, jeopardized or stigmatized, while at the same time targeting the root causes of human trafficking. The strategies must be people</w:t>
      </w:r>
      <w:r w:rsidRPr="008B4D4B">
        <w:rPr>
          <w:rFonts w:ascii="Didot" w:hAnsi="Didot" w:cs="Didot"/>
          <w:color w:val="121212"/>
          <w:sz w:val="22"/>
          <w:szCs w:val="22"/>
          <w:lang w:val="en-GB"/>
        </w:rPr>
        <w:noBreakHyphen/>
        <w:t xml:space="preserve">centred and gender sensitive, bearing in mind that human trafficking is about persons whose basic right to live free particularly from fear and want is under constant threat. We must recognize the dignity of the victims and their right to survival and development, including living a life free of violence. </w:t>
      </w:r>
    </w:p>
    <w:p w14:paraId="54C43F7C"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I proffer below the </w:t>
      </w:r>
      <w:r w:rsidRPr="008B4D4B">
        <w:rPr>
          <w:rFonts w:ascii="Didot" w:hAnsi="Didot" w:cs="Didot"/>
          <w:b/>
          <w:color w:val="121212"/>
          <w:sz w:val="22"/>
          <w:szCs w:val="22"/>
          <w:lang w:val="en-US"/>
        </w:rPr>
        <w:t>5 A’s</w:t>
      </w:r>
      <w:r w:rsidRPr="008B4D4B">
        <w:rPr>
          <w:rFonts w:ascii="Didot" w:hAnsi="Didot" w:cs="Didot"/>
          <w:color w:val="121212"/>
          <w:sz w:val="22"/>
          <w:szCs w:val="22"/>
          <w:lang w:val="en-US"/>
        </w:rPr>
        <w:t xml:space="preserve"> recommendations as part of the global strategy to reduce violence associated with human trafficking or trafficking in persons by 50 % in the next 30 years. </w:t>
      </w:r>
    </w:p>
    <w:p w14:paraId="07C4655F" w14:textId="77777777" w:rsidR="0047351E" w:rsidRPr="008B4D4B" w:rsidRDefault="0047351E" w:rsidP="008A7E29">
      <w:pPr>
        <w:numPr>
          <w:ilvl w:val="0"/>
          <w:numId w:val="34"/>
        </w:numPr>
        <w:jc w:val="both"/>
        <w:rPr>
          <w:rFonts w:ascii="Didot" w:hAnsi="Didot" w:cs="Didot"/>
          <w:bCs/>
          <w:iCs/>
          <w:color w:val="121212"/>
          <w:sz w:val="22"/>
          <w:szCs w:val="22"/>
          <w:lang w:val="en-US"/>
        </w:rPr>
      </w:pPr>
      <w:r w:rsidRPr="008B4D4B">
        <w:rPr>
          <w:rFonts w:ascii="Didot" w:hAnsi="Didot" w:cs="Didot"/>
          <w:b/>
          <w:color w:val="121212"/>
          <w:sz w:val="22"/>
          <w:szCs w:val="22"/>
          <w:lang w:val="en-US"/>
        </w:rPr>
        <w:t xml:space="preserve">Awareness raising and capacity building: </w:t>
      </w:r>
      <w:r w:rsidRPr="008B4D4B">
        <w:rPr>
          <w:rFonts w:ascii="Didot" w:hAnsi="Didot" w:cs="Didot"/>
          <w:color w:val="121212"/>
          <w:sz w:val="22"/>
          <w:szCs w:val="22"/>
          <w:lang w:val="en-US"/>
        </w:rPr>
        <w:t xml:space="preserve">I strongly encourage public enlightenment and trainings for particularly vulnerable groups and also for </w:t>
      </w:r>
      <w:r w:rsidRPr="008B4D4B">
        <w:rPr>
          <w:rFonts w:ascii="Didot" w:hAnsi="Didot" w:cs="Didot"/>
          <w:color w:val="121212"/>
          <w:sz w:val="22"/>
          <w:szCs w:val="22"/>
          <w:lang w:val="en-US"/>
        </w:rPr>
        <w:lastRenderedPageBreak/>
        <w:t xml:space="preserve">professionals working in the field of anti-trafficking on the mechanisms of internal/domestic recruitment for trafficking, forms, manifestations, trends and consequences. Enhanced public awareness and knowledge would lead to better identification of victims and necessary referrals that would assist in their recovery and redress. It’s also important to address and discourage demand that fosters exploitation as part of prevention paradigm.  More efforts are needed with regard to </w:t>
      </w:r>
      <w:proofErr w:type="gramStart"/>
      <w:r w:rsidRPr="008B4D4B">
        <w:rPr>
          <w:rFonts w:ascii="Didot" w:hAnsi="Didot" w:cs="Didot"/>
          <w:color w:val="121212"/>
          <w:sz w:val="22"/>
          <w:szCs w:val="22"/>
          <w:lang w:val="en-US"/>
        </w:rPr>
        <w:t>prevention which</w:t>
      </w:r>
      <w:proofErr w:type="gramEnd"/>
      <w:r w:rsidRPr="008B4D4B">
        <w:rPr>
          <w:rFonts w:ascii="Didot" w:hAnsi="Didot" w:cs="Didot"/>
          <w:color w:val="121212"/>
          <w:sz w:val="22"/>
          <w:szCs w:val="22"/>
          <w:lang w:val="en-US"/>
        </w:rPr>
        <w:t xml:space="preserve"> remains a weak link. Awareness raising and empowerment through the realization of socio- economic as well as civil and political rights could save many from falling in the traps of traffickers. The media has a role to play, so also are businesses to prevent trafficking in their supply chains. </w:t>
      </w:r>
    </w:p>
    <w:p w14:paraId="1471A184" w14:textId="77777777" w:rsidR="0047351E" w:rsidRPr="008B4D4B" w:rsidRDefault="0047351E" w:rsidP="008A7E29">
      <w:pPr>
        <w:numPr>
          <w:ilvl w:val="0"/>
          <w:numId w:val="34"/>
        </w:numPr>
        <w:jc w:val="both"/>
        <w:rPr>
          <w:rFonts w:ascii="Didot" w:hAnsi="Didot" w:cs="Didot"/>
          <w:color w:val="121212"/>
          <w:sz w:val="22"/>
          <w:szCs w:val="22"/>
          <w:lang w:val="en-US"/>
        </w:rPr>
      </w:pPr>
      <w:r w:rsidRPr="008B4D4B">
        <w:rPr>
          <w:rFonts w:ascii="Didot" w:hAnsi="Didot" w:cs="Didot"/>
          <w:b/>
          <w:bCs/>
          <w:iCs/>
          <w:color w:val="121212"/>
          <w:sz w:val="22"/>
          <w:szCs w:val="22"/>
          <w:lang w:val="en-US"/>
        </w:rPr>
        <w:t>Assistance to trafficked persons and those vulnerable migrants</w:t>
      </w:r>
      <w:r w:rsidRPr="008B4D4B">
        <w:rPr>
          <w:rFonts w:ascii="Didot" w:hAnsi="Didot" w:cs="Didot"/>
          <w:bCs/>
          <w:iCs/>
          <w:color w:val="121212"/>
          <w:sz w:val="22"/>
          <w:szCs w:val="22"/>
          <w:lang w:val="en-US"/>
        </w:rPr>
        <w:t xml:space="preserve">, especially irregular migrants vulnerable to abuse and exploitation. </w:t>
      </w:r>
      <w:r w:rsidRPr="008B4D4B">
        <w:rPr>
          <w:rFonts w:ascii="Didot" w:hAnsi="Didot" w:cs="Didot"/>
          <w:color w:val="121212"/>
          <w:sz w:val="22"/>
          <w:szCs w:val="22"/>
          <w:lang w:val="en-US"/>
        </w:rPr>
        <w:t xml:space="preserve">Protection, support and assistance to victims, including access to information, shelter, medical, counselling and legal services will help in the recovery and reintegration of victims of trafficking in persons. Also, employment opportunities, provision of vocational education and training, including compensation will reduce the risk of re-trafficking and re-victimization and the cycle of violence. Partnership with CSOs/NGOs is crucial to ensure adequate, confidential and gender sensitive support services. </w:t>
      </w:r>
    </w:p>
    <w:p w14:paraId="664DFAAD" w14:textId="77777777" w:rsidR="0047351E" w:rsidRPr="008B4D4B" w:rsidRDefault="0047351E" w:rsidP="008A7E29">
      <w:pPr>
        <w:numPr>
          <w:ilvl w:val="0"/>
          <w:numId w:val="34"/>
        </w:numPr>
        <w:jc w:val="both"/>
        <w:rPr>
          <w:rFonts w:ascii="Didot" w:hAnsi="Didot" w:cs="Didot"/>
          <w:color w:val="121212"/>
          <w:sz w:val="22"/>
          <w:szCs w:val="22"/>
          <w:lang w:val="en-US"/>
        </w:rPr>
      </w:pPr>
      <w:r w:rsidRPr="008B4D4B">
        <w:rPr>
          <w:rFonts w:ascii="Didot" w:hAnsi="Didot" w:cs="Didot"/>
          <w:b/>
          <w:bCs/>
          <w:color w:val="121212"/>
          <w:sz w:val="22"/>
          <w:szCs w:val="22"/>
          <w:lang w:val="en-US"/>
        </w:rPr>
        <w:t>Action towards MDGs implementation to tackle some of the root causes of trafficking and irregular migration</w:t>
      </w:r>
    </w:p>
    <w:p w14:paraId="5896A1C0" w14:textId="77777777" w:rsidR="0047351E" w:rsidRPr="008B4D4B" w:rsidRDefault="0047351E" w:rsidP="008A7E29">
      <w:pPr>
        <w:jc w:val="both"/>
        <w:rPr>
          <w:rFonts w:ascii="Didot" w:hAnsi="Didot" w:cs="Didot"/>
          <w:color w:val="121212"/>
          <w:sz w:val="22"/>
          <w:szCs w:val="22"/>
          <w:lang w:val="en-US"/>
        </w:rPr>
      </w:pPr>
      <w:r w:rsidRPr="008B4D4B">
        <w:rPr>
          <w:rFonts w:ascii="Didot" w:hAnsi="Didot" w:cs="Didot"/>
          <w:color w:val="121212"/>
          <w:sz w:val="22"/>
          <w:szCs w:val="22"/>
          <w:lang w:val="en-US"/>
        </w:rPr>
        <w:t>The MDGs are essential to tackling root causes of trafficking and action should be geared towards: poverty reduction; increasing access to education</w:t>
      </w:r>
      <w:proofErr w:type="gramStart"/>
      <w:r w:rsidRPr="008B4D4B">
        <w:rPr>
          <w:rFonts w:ascii="Didot" w:hAnsi="Didot" w:cs="Didot"/>
          <w:color w:val="121212"/>
          <w:sz w:val="22"/>
          <w:szCs w:val="22"/>
          <w:lang w:val="en-US"/>
        </w:rPr>
        <w:t>;</w:t>
      </w:r>
      <w:proofErr w:type="gramEnd"/>
      <w:r w:rsidRPr="008B4D4B">
        <w:rPr>
          <w:rFonts w:ascii="Didot" w:hAnsi="Didot" w:cs="Didot"/>
          <w:color w:val="121212"/>
          <w:sz w:val="22"/>
          <w:szCs w:val="22"/>
          <w:lang w:val="en-US"/>
        </w:rPr>
        <w:t xml:space="preserve"> and achieving gender equality. Goal 3 is especially important regarding the issue of trafficking since majority of victims of trafficking are women, mainly for sexual exploitation. </w:t>
      </w:r>
      <w:proofErr w:type="gramStart"/>
      <w:r w:rsidRPr="008B4D4B">
        <w:rPr>
          <w:rFonts w:ascii="Didot" w:hAnsi="Didot" w:cs="Didot"/>
          <w:color w:val="121212"/>
          <w:sz w:val="22"/>
          <w:szCs w:val="22"/>
          <w:lang w:val="en-US"/>
        </w:rPr>
        <w:t>Secondly because this goal concerns developing countries as much as developed countries.</w:t>
      </w:r>
      <w:proofErr w:type="gramEnd"/>
      <w:r w:rsidRPr="008B4D4B">
        <w:rPr>
          <w:rFonts w:ascii="Didot" w:hAnsi="Didot" w:cs="Didot"/>
          <w:color w:val="121212"/>
          <w:sz w:val="22"/>
          <w:szCs w:val="22"/>
          <w:lang w:val="en-US"/>
        </w:rPr>
        <w:t xml:space="preserve"> </w:t>
      </w:r>
    </w:p>
    <w:p w14:paraId="25C839F6" w14:textId="77777777" w:rsidR="0047351E" w:rsidRPr="008B4D4B" w:rsidRDefault="0047351E" w:rsidP="008A7E29">
      <w:pPr>
        <w:jc w:val="both"/>
        <w:rPr>
          <w:rFonts w:ascii="Didot" w:hAnsi="Didot" w:cs="Didot"/>
          <w:b/>
          <w:bCs/>
          <w:iCs/>
          <w:color w:val="121212"/>
          <w:sz w:val="22"/>
          <w:szCs w:val="22"/>
          <w:lang w:val="en-US"/>
        </w:rPr>
      </w:pPr>
      <w:r w:rsidRPr="008B4D4B">
        <w:rPr>
          <w:rFonts w:ascii="Didot" w:hAnsi="Didot" w:cs="Didot"/>
          <w:color w:val="121212"/>
          <w:sz w:val="22"/>
          <w:szCs w:val="22"/>
          <w:lang w:val="en-US"/>
        </w:rPr>
        <w:t xml:space="preserve">It’s also important to address and discourage demand that fosters exploitation as part of prevention paradigm.  Indeed, addressing the root causes that make people vulnerable to traffickers is necessary in order to fully suppress this practice. Consequently, </w:t>
      </w:r>
      <w:proofErr w:type="gramStart"/>
      <w:r w:rsidRPr="008B4D4B">
        <w:rPr>
          <w:rFonts w:ascii="Didot" w:hAnsi="Didot" w:cs="Didot"/>
          <w:color w:val="121212"/>
          <w:sz w:val="22"/>
          <w:szCs w:val="22"/>
          <w:lang w:val="en-US"/>
        </w:rPr>
        <w:t>an integration</w:t>
      </w:r>
      <w:proofErr w:type="gramEnd"/>
      <w:r w:rsidRPr="008B4D4B">
        <w:rPr>
          <w:rFonts w:ascii="Didot" w:hAnsi="Didot" w:cs="Didot"/>
          <w:color w:val="121212"/>
          <w:sz w:val="22"/>
          <w:szCs w:val="22"/>
          <w:lang w:val="en-US"/>
        </w:rPr>
        <w:t xml:space="preserve"> into the post 2015 MDGs agenda is of paramount importance. </w:t>
      </w:r>
    </w:p>
    <w:p w14:paraId="0D646BD6" w14:textId="77777777" w:rsidR="0047351E" w:rsidRPr="008B4D4B" w:rsidRDefault="0047351E" w:rsidP="008A7E29">
      <w:pPr>
        <w:numPr>
          <w:ilvl w:val="0"/>
          <w:numId w:val="34"/>
        </w:numPr>
        <w:jc w:val="both"/>
        <w:rPr>
          <w:rFonts w:ascii="Didot" w:hAnsi="Didot" w:cs="Didot"/>
          <w:b/>
          <w:bCs/>
          <w:iCs/>
          <w:color w:val="121212"/>
          <w:sz w:val="22"/>
          <w:szCs w:val="22"/>
          <w:lang w:val="en-US"/>
        </w:rPr>
      </w:pPr>
      <w:r w:rsidRPr="008B4D4B">
        <w:rPr>
          <w:rFonts w:ascii="Didot" w:hAnsi="Didot" w:cs="Didot"/>
          <w:b/>
          <w:color w:val="121212"/>
          <w:sz w:val="22"/>
          <w:szCs w:val="22"/>
          <w:lang w:val="en-US"/>
        </w:rPr>
        <w:t>Alliances- Public and Private Partnerships:</w:t>
      </w:r>
      <w:r w:rsidRPr="008B4D4B">
        <w:rPr>
          <w:rFonts w:ascii="Didot" w:hAnsi="Didot" w:cs="Didot"/>
          <w:color w:val="121212"/>
          <w:sz w:val="22"/>
          <w:szCs w:val="22"/>
          <w:lang w:val="en-US"/>
        </w:rPr>
        <w:t xml:space="preserve"> Cooperation is imperative in order to prevent and combat human trafficking. Prevention of trafficking in persons requires concerted efforts by all stakeholders, including source, transit and destination countries.   </w:t>
      </w:r>
      <w:r w:rsidRPr="008B4D4B">
        <w:rPr>
          <w:rFonts w:ascii="Didot" w:hAnsi="Didot" w:cs="Didot"/>
          <w:color w:val="121212"/>
          <w:sz w:val="22"/>
          <w:szCs w:val="22"/>
          <w:lang w:val="en-GB"/>
        </w:rPr>
        <w:t>The Trafficking Protocol clearly recognizes the role of bilateral or multilateral cooperation in alleviating factors that make persons vulnerable to trafficking.</w:t>
      </w:r>
    </w:p>
    <w:p w14:paraId="60899F92" w14:textId="77777777" w:rsidR="0047351E" w:rsidRPr="008B4D4B" w:rsidRDefault="0047351E" w:rsidP="008A7E29">
      <w:pPr>
        <w:numPr>
          <w:ilvl w:val="0"/>
          <w:numId w:val="34"/>
        </w:numPr>
        <w:jc w:val="both"/>
        <w:rPr>
          <w:rFonts w:ascii="Didot" w:hAnsi="Didot" w:cs="Didot"/>
          <w:color w:val="121212"/>
          <w:sz w:val="22"/>
          <w:szCs w:val="22"/>
          <w:lang w:val="en-US"/>
        </w:rPr>
      </w:pPr>
      <w:r w:rsidRPr="008B4D4B">
        <w:rPr>
          <w:rFonts w:ascii="Didot" w:hAnsi="Didot" w:cs="Didot"/>
          <w:b/>
          <w:color w:val="121212"/>
          <w:sz w:val="22"/>
          <w:szCs w:val="22"/>
          <w:lang w:val="en-US"/>
        </w:rPr>
        <w:t>Accountability: Promoting States accountability</w:t>
      </w:r>
      <w:r w:rsidRPr="008B4D4B">
        <w:rPr>
          <w:rFonts w:ascii="Didot" w:hAnsi="Didot" w:cs="Didot"/>
          <w:color w:val="121212"/>
          <w:sz w:val="22"/>
          <w:szCs w:val="22"/>
          <w:lang w:val="en-US"/>
        </w:rPr>
        <w:t xml:space="preserve"> to ratify and implement international instruments relevant in the field of human trafficking and migration. In addition, States must enact appropriate national legislation to criminalize all forms of trafficking and to protect vulnerable persons from violence fostered by trafficking in human beings; including to exercise due diligence to prevent, investigate and punish acts of trafficking in persons whether perpetrated by state actors or by private persons or business. Furthermore, national plans should be developed with full participation of all stakeholders and mechanisms put in place for monitoring anti-trafficking actions. </w:t>
      </w:r>
    </w:p>
    <w:p w14:paraId="04A96837" w14:textId="77777777" w:rsidR="0047351E" w:rsidRPr="006916FC" w:rsidRDefault="0047351E" w:rsidP="008A7E29">
      <w:pPr>
        <w:jc w:val="both"/>
        <w:rPr>
          <w:rFonts w:ascii="Didot" w:hAnsi="Didot" w:cs="Didot"/>
          <w:color w:val="121212"/>
          <w:sz w:val="22"/>
          <w:szCs w:val="22"/>
          <w:lang w:val="en-US"/>
        </w:rPr>
      </w:pPr>
    </w:p>
    <w:p w14:paraId="5B4D18DC" w14:textId="77777777" w:rsidR="004F6BB2" w:rsidRPr="006916FC" w:rsidRDefault="004F6BB2" w:rsidP="008A7E29">
      <w:pPr>
        <w:jc w:val="both"/>
        <w:rPr>
          <w:rFonts w:ascii="Didot" w:hAnsi="Didot" w:cs="Didot"/>
          <w:color w:val="121212"/>
          <w:sz w:val="22"/>
          <w:szCs w:val="22"/>
          <w:lang w:val="en-US"/>
        </w:rPr>
      </w:pPr>
    </w:p>
    <w:p w14:paraId="37BFA6D5" w14:textId="77777777" w:rsidR="004F6BB2" w:rsidRPr="006916FC" w:rsidRDefault="004F6BB2" w:rsidP="008A7E29">
      <w:pPr>
        <w:jc w:val="both"/>
        <w:rPr>
          <w:rFonts w:ascii="Didot" w:hAnsi="Didot" w:cs="Didot"/>
          <w:color w:val="121212"/>
          <w:sz w:val="22"/>
          <w:szCs w:val="22"/>
          <w:lang w:val="en-US"/>
        </w:rPr>
      </w:pPr>
    </w:p>
    <w:p w14:paraId="4E701D55" w14:textId="77777777" w:rsidR="004F6BB2" w:rsidRPr="006916FC" w:rsidRDefault="004F6BB2" w:rsidP="008A7E29">
      <w:pPr>
        <w:jc w:val="both"/>
        <w:rPr>
          <w:rFonts w:ascii="Didot" w:hAnsi="Didot" w:cs="Didot"/>
          <w:color w:val="121212"/>
          <w:sz w:val="22"/>
          <w:szCs w:val="22"/>
          <w:lang w:val="en-US"/>
        </w:rPr>
      </w:pPr>
    </w:p>
    <w:p w14:paraId="3E222B8F" w14:textId="77777777" w:rsidR="004F6BB2" w:rsidRPr="006916FC" w:rsidRDefault="004F6BB2" w:rsidP="008A7E29">
      <w:pPr>
        <w:jc w:val="both"/>
        <w:rPr>
          <w:rFonts w:ascii="Didot" w:hAnsi="Didot" w:cs="Didot"/>
          <w:color w:val="121212"/>
          <w:sz w:val="22"/>
          <w:szCs w:val="22"/>
          <w:lang w:val="en-US"/>
        </w:rPr>
      </w:pPr>
    </w:p>
    <w:p w14:paraId="3FEDD315" w14:textId="77777777" w:rsidR="004F6BB2" w:rsidRPr="006916FC" w:rsidRDefault="004F6BB2" w:rsidP="008A7E29">
      <w:pPr>
        <w:jc w:val="both"/>
        <w:rPr>
          <w:rFonts w:ascii="Didot" w:hAnsi="Didot" w:cs="Didot"/>
          <w:color w:val="121212"/>
          <w:sz w:val="22"/>
          <w:szCs w:val="22"/>
          <w:lang w:val="en-US"/>
        </w:rPr>
      </w:pPr>
    </w:p>
    <w:p w14:paraId="21C7A712" w14:textId="77777777" w:rsidR="004F6BB2" w:rsidRPr="006916FC" w:rsidRDefault="004F6BB2" w:rsidP="008A7E29">
      <w:pPr>
        <w:jc w:val="both"/>
        <w:rPr>
          <w:rFonts w:ascii="Didot" w:hAnsi="Didot" w:cs="Didot"/>
          <w:color w:val="121212"/>
          <w:sz w:val="22"/>
          <w:szCs w:val="22"/>
          <w:lang w:val="en-US"/>
        </w:rPr>
      </w:pPr>
    </w:p>
    <w:p w14:paraId="03611A3C" w14:textId="77777777" w:rsidR="004F6BB2" w:rsidRPr="006916FC" w:rsidRDefault="004F6BB2" w:rsidP="008A7E29">
      <w:pPr>
        <w:jc w:val="both"/>
        <w:rPr>
          <w:rFonts w:ascii="Didot" w:hAnsi="Didot" w:cs="Didot"/>
          <w:color w:val="121212"/>
          <w:sz w:val="22"/>
          <w:szCs w:val="22"/>
          <w:lang w:val="en-US"/>
        </w:rPr>
      </w:pPr>
    </w:p>
    <w:p w14:paraId="3F382838" w14:textId="77777777" w:rsidR="004F6BB2" w:rsidRPr="006916FC" w:rsidRDefault="004F6BB2" w:rsidP="008A7E29">
      <w:pPr>
        <w:jc w:val="both"/>
        <w:rPr>
          <w:rFonts w:ascii="Didot" w:hAnsi="Didot" w:cs="Didot"/>
          <w:color w:val="121212"/>
          <w:sz w:val="22"/>
          <w:szCs w:val="22"/>
          <w:lang w:val="en-US"/>
        </w:rPr>
      </w:pPr>
    </w:p>
    <w:p w14:paraId="686BBD90" w14:textId="77777777" w:rsidR="004F6BB2" w:rsidRPr="006916FC" w:rsidRDefault="004F6BB2" w:rsidP="008A7E29">
      <w:pPr>
        <w:jc w:val="both"/>
        <w:rPr>
          <w:rFonts w:ascii="Didot" w:hAnsi="Didot" w:cs="Didot"/>
          <w:color w:val="121212"/>
          <w:sz w:val="22"/>
          <w:szCs w:val="22"/>
          <w:lang w:val="en-US"/>
        </w:rPr>
      </w:pPr>
    </w:p>
    <w:p w14:paraId="0854399F" w14:textId="77777777" w:rsidR="004F6BB2" w:rsidRPr="006916FC" w:rsidRDefault="004F6BB2" w:rsidP="008A7E29">
      <w:pPr>
        <w:jc w:val="both"/>
        <w:rPr>
          <w:rFonts w:ascii="Didot" w:hAnsi="Didot" w:cs="Didot"/>
          <w:color w:val="121212"/>
          <w:sz w:val="22"/>
          <w:szCs w:val="22"/>
          <w:lang w:val="en-US"/>
        </w:rPr>
      </w:pPr>
    </w:p>
    <w:p w14:paraId="2233495A" w14:textId="77777777" w:rsidR="004F6BB2" w:rsidRPr="006916FC" w:rsidRDefault="004F6BB2" w:rsidP="008A7E29">
      <w:pPr>
        <w:jc w:val="both"/>
        <w:rPr>
          <w:rFonts w:ascii="Didot" w:hAnsi="Didot" w:cs="Didot"/>
          <w:color w:val="121212"/>
          <w:sz w:val="22"/>
          <w:szCs w:val="22"/>
          <w:lang w:val="en-US"/>
        </w:rPr>
      </w:pPr>
    </w:p>
    <w:p w14:paraId="2491CB34" w14:textId="77777777" w:rsidR="004F6BB2" w:rsidRPr="006916FC" w:rsidRDefault="004F6BB2" w:rsidP="008A7E29">
      <w:pPr>
        <w:jc w:val="both"/>
        <w:rPr>
          <w:rFonts w:ascii="Didot" w:hAnsi="Didot" w:cs="Didot"/>
          <w:color w:val="121212"/>
          <w:sz w:val="22"/>
          <w:szCs w:val="22"/>
          <w:lang w:val="en-US"/>
        </w:rPr>
      </w:pPr>
    </w:p>
    <w:p w14:paraId="082D44A3" w14:textId="77777777" w:rsidR="004F6BB2" w:rsidRPr="006916FC" w:rsidRDefault="004F6BB2" w:rsidP="008A7E29">
      <w:pPr>
        <w:jc w:val="both"/>
        <w:rPr>
          <w:rFonts w:ascii="Didot" w:hAnsi="Didot" w:cs="Didot"/>
          <w:color w:val="121212"/>
          <w:sz w:val="22"/>
          <w:szCs w:val="22"/>
          <w:lang w:val="en-US"/>
        </w:rPr>
      </w:pPr>
    </w:p>
    <w:p w14:paraId="4BAEE446" w14:textId="77777777" w:rsidR="004F6BB2" w:rsidRPr="006916FC" w:rsidRDefault="004F6BB2" w:rsidP="008A7E29">
      <w:pPr>
        <w:jc w:val="both"/>
        <w:rPr>
          <w:rFonts w:ascii="Didot" w:hAnsi="Didot" w:cs="Didot"/>
          <w:color w:val="121212"/>
          <w:sz w:val="22"/>
          <w:szCs w:val="22"/>
          <w:lang w:val="en-US"/>
        </w:rPr>
      </w:pPr>
    </w:p>
    <w:p w14:paraId="0F784113" w14:textId="77777777" w:rsidR="004F6BB2" w:rsidRPr="006916FC" w:rsidRDefault="004F6BB2" w:rsidP="008A7E29">
      <w:pPr>
        <w:jc w:val="both"/>
        <w:rPr>
          <w:rFonts w:ascii="Didot" w:hAnsi="Didot" w:cs="Didot"/>
          <w:color w:val="121212"/>
          <w:sz w:val="22"/>
          <w:szCs w:val="22"/>
          <w:lang w:val="en-US"/>
        </w:rPr>
      </w:pPr>
    </w:p>
    <w:p w14:paraId="1365421C" w14:textId="77777777" w:rsidR="004F6BB2" w:rsidRPr="006916FC" w:rsidRDefault="004F6BB2" w:rsidP="008A7E29">
      <w:pPr>
        <w:jc w:val="both"/>
        <w:rPr>
          <w:rFonts w:ascii="Didot" w:hAnsi="Didot" w:cs="Didot"/>
          <w:color w:val="121212"/>
          <w:sz w:val="22"/>
          <w:szCs w:val="22"/>
          <w:lang w:val="en-US"/>
        </w:rPr>
      </w:pPr>
    </w:p>
    <w:p w14:paraId="2EA5D53C" w14:textId="77777777" w:rsidR="004F6BB2" w:rsidRPr="006916FC" w:rsidRDefault="004F6BB2" w:rsidP="008A7E29">
      <w:pPr>
        <w:jc w:val="both"/>
        <w:rPr>
          <w:rFonts w:ascii="Didot" w:hAnsi="Didot" w:cs="Didot"/>
          <w:color w:val="121212"/>
          <w:sz w:val="22"/>
          <w:szCs w:val="22"/>
          <w:lang w:val="en-US"/>
        </w:rPr>
      </w:pPr>
    </w:p>
    <w:p w14:paraId="2AF226F4" w14:textId="77777777" w:rsidR="004F6BB2" w:rsidRPr="006916FC" w:rsidRDefault="004F6BB2" w:rsidP="008A7E29">
      <w:pPr>
        <w:jc w:val="both"/>
        <w:rPr>
          <w:rFonts w:ascii="Didot" w:hAnsi="Didot" w:cs="Didot"/>
          <w:color w:val="121212"/>
          <w:sz w:val="22"/>
          <w:szCs w:val="22"/>
          <w:lang w:val="en-US"/>
        </w:rPr>
      </w:pPr>
    </w:p>
    <w:p w14:paraId="26CD3569" w14:textId="77777777" w:rsidR="004F6BB2" w:rsidRPr="006916FC" w:rsidRDefault="004F6BB2" w:rsidP="008A7E29">
      <w:pPr>
        <w:jc w:val="both"/>
        <w:rPr>
          <w:rFonts w:ascii="Didot" w:hAnsi="Didot" w:cs="Didot"/>
          <w:color w:val="121212"/>
          <w:sz w:val="22"/>
          <w:szCs w:val="22"/>
          <w:lang w:val="en-US"/>
        </w:rPr>
      </w:pPr>
    </w:p>
    <w:p w14:paraId="2986BDA9" w14:textId="77777777" w:rsidR="004F6BB2" w:rsidRPr="006916FC" w:rsidRDefault="004F6BB2" w:rsidP="008A7E29">
      <w:pPr>
        <w:jc w:val="both"/>
        <w:rPr>
          <w:rFonts w:ascii="Didot" w:hAnsi="Didot" w:cs="Didot"/>
          <w:color w:val="121212"/>
          <w:sz w:val="22"/>
          <w:szCs w:val="22"/>
          <w:lang w:val="en-US"/>
        </w:rPr>
      </w:pPr>
    </w:p>
    <w:p w14:paraId="3126BEEF" w14:textId="172A1251" w:rsidR="004F6BB2" w:rsidRPr="006916FC" w:rsidRDefault="00C33C84" w:rsidP="008A7E29">
      <w:pPr>
        <w:pStyle w:val="Heading1"/>
        <w:rPr>
          <w:sz w:val="34"/>
          <w:szCs w:val="34"/>
        </w:rPr>
      </w:pPr>
      <w:bookmarkStart w:id="39" w:name="_Toc272639902"/>
      <w:r w:rsidRPr="006916FC">
        <w:br w:type="column"/>
      </w:r>
      <w:bookmarkStart w:id="40" w:name="_Toc272645025"/>
      <w:r w:rsidR="00AC06AD" w:rsidRPr="006916FC">
        <w:rPr>
          <w:sz w:val="34"/>
          <w:szCs w:val="34"/>
        </w:rPr>
        <w:lastRenderedPageBreak/>
        <w:t>Session 4</w:t>
      </w:r>
      <w:bookmarkEnd w:id="39"/>
      <w:bookmarkEnd w:id="40"/>
      <w:r w:rsidR="00AC06AD" w:rsidRPr="006916FC">
        <w:rPr>
          <w:sz w:val="34"/>
          <w:szCs w:val="34"/>
        </w:rPr>
        <w:t xml:space="preserve"> </w:t>
      </w:r>
    </w:p>
    <w:p w14:paraId="367795B1" w14:textId="77777777" w:rsidR="00AC06AD" w:rsidRPr="006916FC" w:rsidRDefault="00AC06AD" w:rsidP="008A7E29">
      <w:pPr>
        <w:pStyle w:val="Heading1"/>
      </w:pPr>
      <w:bookmarkStart w:id="41" w:name="_Toc272639903"/>
      <w:bookmarkStart w:id="42" w:name="_Toc272645026"/>
      <w:r w:rsidRPr="006916FC">
        <w:t>Reducing Violence in Public Space</w:t>
      </w:r>
      <w:bookmarkEnd w:id="41"/>
      <w:bookmarkEnd w:id="42"/>
    </w:p>
    <w:p w14:paraId="7104AEDA" w14:textId="77777777" w:rsidR="002B35BA" w:rsidRPr="006916FC" w:rsidRDefault="002B35BA" w:rsidP="008A7E29">
      <w:pPr>
        <w:widowControl w:val="0"/>
        <w:autoSpaceDE w:val="0"/>
        <w:autoSpaceDN w:val="0"/>
        <w:adjustRightInd w:val="0"/>
        <w:spacing w:after="240"/>
        <w:jc w:val="both"/>
        <w:rPr>
          <w:rFonts w:ascii="Didot" w:hAnsi="Didot" w:cs="Didot"/>
          <w:b/>
          <w:bCs/>
          <w:color w:val="121212"/>
          <w:lang w:val="en-US"/>
        </w:rPr>
      </w:pPr>
    </w:p>
    <w:p w14:paraId="24B669FD" w14:textId="77777777" w:rsidR="00AC06AD" w:rsidRDefault="00AC06AD" w:rsidP="008A7E29">
      <w:pPr>
        <w:widowControl w:val="0"/>
        <w:pBdr>
          <w:bottom w:val="single" w:sz="12" w:space="1"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Mark Bellis - Liverpool John Moores University - Centre for Public Health, Director of Policy, Research and Development</w:t>
      </w:r>
    </w:p>
    <w:p w14:paraId="0E19BEFD" w14:textId="77777777" w:rsidR="008B4D4B" w:rsidRDefault="008B4D4B" w:rsidP="008A7E29">
      <w:pPr>
        <w:widowControl w:val="0"/>
        <w:pBdr>
          <w:bottom w:val="single" w:sz="12" w:space="1" w:color="auto"/>
        </w:pBdr>
        <w:autoSpaceDE w:val="0"/>
        <w:autoSpaceDN w:val="0"/>
        <w:adjustRightInd w:val="0"/>
        <w:spacing w:after="240"/>
        <w:jc w:val="both"/>
        <w:rPr>
          <w:rFonts w:ascii="Didot" w:hAnsi="Didot" w:cs="Didot"/>
          <w:b/>
          <w:bCs/>
          <w:color w:val="121212"/>
          <w:lang w:val="en-US"/>
        </w:rPr>
      </w:pPr>
    </w:p>
    <w:p w14:paraId="050CDBB7" w14:textId="77777777" w:rsidR="00AC06AD" w:rsidRPr="008B4D4B" w:rsidRDefault="00AC06AD" w:rsidP="008A7E29">
      <w:pPr>
        <w:pBdr>
          <w:bottom w:val="single" w:sz="6" w:space="1" w:color="auto"/>
        </w:pBdr>
        <w:jc w:val="both"/>
        <w:rPr>
          <w:rFonts w:ascii="Didot" w:hAnsi="Didot" w:cs="Didot"/>
          <w:color w:val="121212"/>
          <w:sz w:val="22"/>
          <w:szCs w:val="22"/>
          <w:lang w:val="en-US"/>
        </w:rPr>
      </w:pPr>
      <w:r w:rsidRPr="008B4D4B">
        <w:rPr>
          <w:rFonts w:ascii="Didot" w:hAnsi="Didot" w:cs="Didot"/>
          <w:color w:val="121212"/>
          <w:sz w:val="22"/>
          <w:szCs w:val="22"/>
          <w:lang w:val="en-US"/>
        </w:rPr>
        <w:t>Streets, squares and meeting places that are free from the threat of violence are an important precondition for civil society. Strategies to reduce violence in public space, often committed by gangs and associated with illegal markets, are therefore a pivotal component of broader violence reduction. The speakers in this session show what we know about effective approaches to reduce violence in public space. They also present research-based ideas about innovative ways for violence reduction in communities and making the best use of new technologies for violence reduction.</w:t>
      </w:r>
    </w:p>
    <w:p w14:paraId="5BB4CCA4" w14:textId="77777777" w:rsidR="002B35BA" w:rsidRPr="006916FC" w:rsidRDefault="002B35BA" w:rsidP="008A7E29">
      <w:pPr>
        <w:pBdr>
          <w:bottom w:val="single" w:sz="6" w:space="1" w:color="auto"/>
        </w:pBdr>
        <w:jc w:val="both"/>
        <w:rPr>
          <w:rFonts w:ascii="Didot" w:hAnsi="Didot" w:cs="Didot"/>
          <w:b/>
          <w:color w:val="121212"/>
          <w:sz w:val="22"/>
          <w:szCs w:val="22"/>
          <w:lang w:val="en-US"/>
        </w:rPr>
      </w:pPr>
    </w:p>
    <w:p w14:paraId="5955B5EC" w14:textId="77777777" w:rsidR="00FB584B" w:rsidRPr="006916FC" w:rsidRDefault="00FB584B" w:rsidP="008A7E29">
      <w:pPr>
        <w:jc w:val="both"/>
        <w:rPr>
          <w:rFonts w:ascii="Didot" w:hAnsi="Didot" w:cs="Didot"/>
          <w:b/>
          <w:color w:val="121212"/>
          <w:lang w:val="en-US"/>
        </w:rPr>
      </w:pPr>
    </w:p>
    <w:p w14:paraId="483112A6" w14:textId="77777777" w:rsidR="00AC06AD" w:rsidRPr="006916FC" w:rsidRDefault="00AC06AD" w:rsidP="008A7E29">
      <w:pPr>
        <w:pStyle w:val="Heading2"/>
        <w:jc w:val="both"/>
        <w:rPr>
          <w:rFonts w:ascii="Didot" w:hAnsi="Didot" w:cs="Didot"/>
          <w:color w:val="auto"/>
          <w:sz w:val="34"/>
          <w:szCs w:val="34"/>
        </w:rPr>
      </w:pPr>
      <w:bookmarkStart w:id="43" w:name="_Toc272639904"/>
      <w:bookmarkStart w:id="44" w:name="_Toc272645027"/>
      <w:r w:rsidRPr="006916FC">
        <w:rPr>
          <w:rFonts w:ascii="Didot" w:hAnsi="Didot" w:cs="Didot"/>
          <w:color w:val="auto"/>
          <w:sz w:val="34"/>
          <w:szCs w:val="34"/>
        </w:rPr>
        <w:t>Robert Muggah</w:t>
      </w:r>
      <w:bookmarkEnd w:id="43"/>
      <w:bookmarkEnd w:id="44"/>
    </w:p>
    <w:p w14:paraId="1DA54412" w14:textId="77777777" w:rsidR="00362AAD" w:rsidRPr="006916FC" w:rsidRDefault="00362AAD" w:rsidP="008A7E29">
      <w:pPr>
        <w:jc w:val="both"/>
        <w:rPr>
          <w:rFonts w:ascii="Didot" w:hAnsi="Didot" w:cs="Didot"/>
          <w:b/>
          <w:color w:val="121212"/>
          <w:lang w:val="en-US"/>
        </w:rPr>
      </w:pPr>
    </w:p>
    <w:p w14:paraId="6831313E"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421B9BB3" w14:textId="77777777" w:rsidR="002B35BA" w:rsidRPr="006916FC" w:rsidRDefault="002B35BA" w:rsidP="008A7E29">
      <w:pPr>
        <w:jc w:val="both"/>
        <w:rPr>
          <w:rFonts w:ascii="Didot" w:hAnsi="Didot" w:cs="Didot"/>
          <w:b/>
          <w:color w:val="121212"/>
          <w:lang w:val="en-US"/>
        </w:rPr>
      </w:pPr>
    </w:p>
    <w:p w14:paraId="423AF509" w14:textId="77777777" w:rsidR="00AC06AD" w:rsidRPr="008B4D4B" w:rsidRDefault="00AC06AD"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Dr. Robert Muggah is the Research Director of the Igarapé Institute, a Research Director of the SecDev Foundation, and teaches at the Instituto de Relações Internacionais, Pontifícia Universidade Católica do Rio de Janeiro. He is also a fellow at the University of Oxford, the University of San Diego and the Graduate Institute Switzerland. He is the co-founder and executive editor of Stability Journal. Dr. Muggah serves as a senior adviser to the Inter-American Development Bank, various UN agencies, and the World Bank. He is also partnered wtih Google Ideas on issues related to fragility, conflict and violence and ways new technology </w:t>
      </w:r>
      <w:proofErr w:type="gramStart"/>
      <w:r w:rsidRPr="008B4D4B">
        <w:rPr>
          <w:rFonts w:ascii="Didot" w:hAnsi="Didot" w:cs="Didot"/>
          <w:color w:val="121212"/>
          <w:sz w:val="22"/>
          <w:szCs w:val="22"/>
          <w:lang w:val="en-US"/>
        </w:rPr>
        <w:t>can</w:t>
      </w:r>
      <w:proofErr w:type="gramEnd"/>
      <w:r w:rsidRPr="008B4D4B">
        <w:rPr>
          <w:rFonts w:ascii="Didot" w:hAnsi="Didot" w:cs="Didot"/>
          <w:color w:val="121212"/>
          <w:sz w:val="22"/>
          <w:szCs w:val="22"/>
          <w:lang w:val="en-US"/>
        </w:rPr>
        <w:t xml:space="preserve"> help. Dr. Muggah received his DPhil at Oxford University and his MPhil at the Institute for Development Studies (IDS), University of Sussex.</w:t>
      </w:r>
    </w:p>
    <w:p w14:paraId="6AD7281E" w14:textId="77777777" w:rsidR="00AC06AD" w:rsidRPr="008B4D4B" w:rsidRDefault="00AC06AD"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From Brazil Robert directs several projects on violence prevention, citizen security, stability operations, and development in the Americas and Africa. He currently oversees the Humanitarian Action in Situations Other than War (HASOW) project, the States of Fragility project and the Urban Resilience project. He routinely advises governments, international organizations and civil society groups on security and development. For example, in 2012 and 2013 he was an adviser to the </w:t>
      </w:r>
      <w:r w:rsidRPr="008B4D4B">
        <w:rPr>
          <w:rFonts w:ascii="Didot" w:hAnsi="Didot" w:cs="Didot"/>
          <w:color w:val="121212"/>
          <w:sz w:val="22"/>
          <w:szCs w:val="22"/>
          <w:lang w:val="en-US"/>
        </w:rPr>
        <w:lastRenderedPageBreak/>
        <w:t>High Level Panel on the post-2015 development agenda and the Global Commission on Drug Policy. In 2013, he was named one of the top 100 most influential people in the world on armed violence reduction by a UK-based organization and in 2014 he was awarded a digital age grant by Google.</w:t>
      </w:r>
    </w:p>
    <w:p w14:paraId="5B2AFC89" w14:textId="77777777" w:rsidR="00AC06AD" w:rsidRPr="008B4D4B" w:rsidRDefault="00AC06AD"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Previously, Dr. Muggah was research director at the Small Arms Survey (2000-2011), a lecturer at the Graduate Institute of International and Development Studies and an adviser to a number of multilateral and bilateral organizations on issues of arms control, security sector reform, humanitarian issues, and post-conflict recovery and reconstruction. He has led research and evaluations in over 30 countries across Latin America and the Caribbean, Sub-Saharan Africa, North Africa and the Middle East, South Asia and the South Pacific on related themes. His recent policy </w:t>
      </w:r>
      <w:proofErr w:type="gramStart"/>
      <w:r w:rsidRPr="008B4D4B">
        <w:rPr>
          <w:rFonts w:ascii="Didot" w:hAnsi="Didot" w:cs="Didot"/>
          <w:color w:val="121212"/>
          <w:sz w:val="22"/>
          <w:szCs w:val="22"/>
          <w:lang w:val="en-US"/>
        </w:rPr>
        <w:t>outputs includes</w:t>
      </w:r>
      <w:proofErr w:type="gramEnd"/>
      <w:r w:rsidRPr="008B4D4B">
        <w:rPr>
          <w:rFonts w:ascii="Didot" w:hAnsi="Didot" w:cs="Didot"/>
          <w:color w:val="121212"/>
          <w:sz w:val="22"/>
          <w:szCs w:val="22"/>
          <w:lang w:val="en-US"/>
        </w:rPr>
        <w:t xml:space="preserve"> chapters for forthcoming flagship reports of the Inter-American Development Bank, UNDP, World Bank.</w:t>
      </w:r>
    </w:p>
    <w:p w14:paraId="1B26F481" w14:textId="77777777" w:rsidR="00AC06AD" w:rsidRPr="008B4D4B" w:rsidRDefault="00AC06AD"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Dr. Muggah's work is published in dozens of academic and policy journals. Most recently, he is the editor of Stability Operations, Security and Development (New York: Routledge, 2013) and co-editor of the Global Burden of Armed Violence (Cambridge: Cambridge University Press, 2011 and 2008). He is also the author of Security and Post-Conflict Reconstruction: Dealing with Fighters in the Aftermath of War (New York: Routledge, 2009), Relocation Failures in Sri Lanka: A Short History of Internal Displacement (London: Zed Books, 2008), and No Refuge: The Crisis of Refugee Militarization in Africa (London: Zed Books 2006) and contributed more than 14 chapters to the Small Arms Survey (Cambridge University Press) since 2001. He is a regular contributor to the Atlantic, BBC, CBC, Guardian, Los Angeles Times, New York Times, and o Globo.</w:t>
      </w:r>
    </w:p>
    <w:p w14:paraId="407EBF72" w14:textId="77777777" w:rsidR="00AC06AD" w:rsidRPr="008B4D4B" w:rsidRDefault="00AC06AD"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Dr. Muggah has published over one hundred articles in peer-review journals including International Peacekeeping, Security Dialogue, Contemporary Security Policy, The Commonwealth Journal of International Affairs, Conflict, Security and Development, The Journal of Refugee Studies, The Journal of Disasters, Forced Migration Review, and many others. In addition to featuring in international media and writing opeds for the NYT, LAT, Guardian, Huffington Post, Atlantic and others, Dr. Muggah has also been involved in co-writing and advising documentary films on violence, drug policy and development. Most recently, he has been designing new interactive online visualization tools of the global arms trade, as well as android applications to enhance police accountability from Rio de Janeiro to Nairobi and Cape Town. </w:t>
      </w:r>
    </w:p>
    <w:p w14:paraId="5983564C" w14:textId="77777777" w:rsidR="001A057F" w:rsidRPr="006916FC" w:rsidRDefault="001A057F" w:rsidP="008A7E29">
      <w:pPr>
        <w:pBdr>
          <w:bottom w:val="single" w:sz="6" w:space="1" w:color="auto"/>
        </w:pBdr>
        <w:jc w:val="both"/>
        <w:rPr>
          <w:rFonts w:ascii="Didot" w:hAnsi="Didot" w:cs="Didot"/>
          <w:color w:val="121212"/>
          <w:sz w:val="22"/>
          <w:szCs w:val="22"/>
          <w:lang w:val="en-US"/>
        </w:rPr>
      </w:pPr>
    </w:p>
    <w:p w14:paraId="1E92924E" w14:textId="77777777" w:rsidR="001A057F" w:rsidRPr="006916FC" w:rsidRDefault="001A057F" w:rsidP="008A7E29">
      <w:pPr>
        <w:jc w:val="both"/>
        <w:rPr>
          <w:rFonts w:ascii="Didot" w:hAnsi="Didot" w:cs="Didot"/>
          <w:color w:val="121212"/>
          <w:sz w:val="22"/>
          <w:szCs w:val="22"/>
          <w:lang w:val="en-US"/>
        </w:rPr>
      </w:pPr>
    </w:p>
    <w:p w14:paraId="78037500"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Abstract</w:t>
      </w:r>
    </w:p>
    <w:p w14:paraId="3830FFFD" w14:textId="77777777" w:rsidR="002B35BA" w:rsidRPr="006916FC" w:rsidRDefault="002B35BA" w:rsidP="008A7E29">
      <w:pPr>
        <w:jc w:val="both"/>
        <w:rPr>
          <w:rFonts w:ascii="Didot" w:hAnsi="Didot" w:cs="Didot"/>
          <w:b/>
          <w:color w:val="121212"/>
          <w:lang w:val="en-US"/>
        </w:rPr>
      </w:pPr>
    </w:p>
    <w:p w14:paraId="37AC89D2" w14:textId="77777777" w:rsidR="00AC06AD" w:rsidRPr="006916FC" w:rsidRDefault="00AC06AD"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Fragile Cities: Confronting the Changing Landscapes Violence</w:t>
      </w:r>
    </w:p>
    <w:p w14:paraId="71300AD6" w14:textId="77777777" w:rsidR="000D6A2E" w:rsidRPr="008B4D4B" w:rsidRDefault="00AC06AD"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The twenty first century will be urban. By 2030, more than 3 in 5 people will live in cities and slums. It is not just size or density of cities and their periphery, but the pace of urbanization that will define global trajectories of violence. There are at least five major risks that will influence patterns of organized and interpersonal violence over the next 30 years. These include the changing geography, topography, demography, ecology and technology of violence. If violence is to be </w:t>
      </w:r>
      <w:r w:rsidRPr="008B4D4B">
        <w:rPr>
          <w:rFonts w:ascii="Didot" w:hAnsi="Didot" w:cs="Didot"/>
          <w:color w:val="121212"/>
          <w:sz w:val="22"/>
          <w:szCs w:val="22"/>
          <w:lang w:val="en-US"/>
        </w:rPr>
        <w:lastRenderedPageBreak/>
        <w:t>halved in the coming decades, the dimensions of the urban dilemma need to be acknowledged. Attention needs to be refocused specifically on those cities and settlements generating disproportionate levels of violence, building-in resilience to our cities, and harnessing technological innovation to improve safety and security. </w:t>
      </w:r>
    </w:p>
    <w:p w14:paraId="5B1CB3DE" w14:textId="77777777" w:rsidR="001A057F" w:rsidRPr="006916FC" w:rsidRDefault="001A057F" w:rsidP="008A7E29">
      <w:pPr>
        <w:pBdr>
          <w:bottom w:val="single" w:sz="6" w:space="1" w:color="auto"/>
        </w:pBdr>
        <w:jc w:val="both"/>
        <w:rPr>
          <w:rFonts w:ascii="Didot" w:hAnsi="Didot" w:cs="Didot"/>
          <w:color w:val="121212"/>
          <w:sz w:val="22"/>
          <w:szCs w:val="22"/>
          <w:lang w:val="en-US"/>
        </w:rPr>
      </w:pPr>
    </w:p>
    <w:p w14:paraId="772D3CDD" w14:textId="77777777" w:rsidR="001A057F" w:rsidRPr="006916FC" w:rsidRDefault="001A057F" w:rsidP="008A7E29">
      <w:pPr>
        <w:jc w:val="both"/>
        <w:rPr>
          <w:rFonts w:ascii="Didot" w:hAnsi="Didot" w:cs="Didot"/>
          <w:color w:val="121212"/>
          <w:sz w:val="22"/>
          <w:szCs w:val="22"/>
          <w:lang w:val="en-US"/>
        </w:rPr>
      </w:pPr>
    </w:p>
    <w:p w14:paraId="1D84D5BC" w14:textId="77777777" w:rsidR="00160E26" w:rsidRPr="006916FC" w:rsidRDefault="00160E26" w:rsidP="008A7E29">
      <w:pPr>
        <w:widowControl w:val="0"/>
        <w:autoSpaceDE w:val="0"/>
        <w:autoSpaceDN w:val="0"/>
        <w:adjustRightInd w:val="0"/>
        <w:jc w:val="both"/>
        <w:rPr>
          <w:rFonts w:ascii="Didot" w:hAnsi="Didot" w:cs="Didot"/>
          <w:b/>
          <w:bCs/>
          <w:lang w:val="en-US"/>
        </w:rPr>
        <w:sectPr w:rsidR="00160E26" w:rsidRPr="006916FC" w:rsidSect="000E4419">
          <w:type w:val="continuous"/>
          <w:pgSz w:w="11900" w:h="16840"/>
          <w:pgMar w:top="1440" w:right="1800" w:bottom="1440" w:left="1800" w:header="708" w:footer="708" w:gutter="0"/>
          <w:cols w:space="708"/>
          <w:docGrid w:linePitch="360"/>
        </w:sectPr>
      </w:pPr>
    </w:p>
    <w:p w14:paraId="4AD95E35" w14:textId="6946D216" w:rsidR="002B35BA" w:rsidRPr="006916FC" w:rsidRDefault="002B35BA" w:rsidP="008A7E29">
      <w:pPr>
        <w:widowControl w:val="0"/>
        <w:autoSpaceDE w:val="0"/>
        <w:autoSpaceDN w:val="0"/>
        <w:adjustRightInd w:val="0"/>
        <w:jc w:val="both"/>
        <w:rPr>
          <w:rFonts w:ascii="Didot" w:hAnsi="Didot" w:cs="Didot"/>
          <w:b/>
          <w:bCs/>
          <w:lang w:val="en-US"/>
        </w:rPr>
      </w:pPr>
      <w:r w:rsidRPr="006916FC">
        <w:rPr>
          <w:rFonts w:ascii="Didot" w:hAnsi="Didot" w:cs="Didot"/>
          <w:b/>
          <w:bCs/>
          <w:lang w:val="en-US"/>
        </w:rPr>
        <w:lastRenderedPageBreak/>
        <w:t>Summary</w:t>
      </w:r>
    </w:p>
    <w:p w14:paraId="06989635" w14:textId="77777777" w:rsidR="003D6AB9" w:rsidRPr="006916FC" w:rsidRDefault="003D6AB9" w:rsidP="008A7E29">
      <w:pPr>
        <w:widowControl w:val="0"/>
        <w:autoSpaceDE w:val="0"/>
        <w:autoSpaceDN w:val="0"/>
        <w:adjustRightInd w:val="0"/>
        <w:jc w:val="both"/>
        <w:rPr>
          <w:rFonts w:ascii="Didot" w:hAnsi="Didot" w:cs="Didot"/>
          <w:b/>
          <w:bCs/>
          <w:lang w:val="en-US"/>
        </w:rPr>
      </w:pPr>
    </w:p>
    <w:p w14:paraId="26C71039" w14:textId="7767B5B4" w:rsidR="003D6AB9" w:rsidRPr="006916FC" w:rsidRDefault="003D6AB9"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Fragile Cities: Confronting the Changing Landscapes Violence</w:t>
      </w:r>
    </w:p>
    <w:p w14:paraId="0FFFF42B" w14:textId="77777777" w:rsidR="002B35BA" w:rsidRPr="006916FC" w:rsidRDefault="002B35BA" w:rsidP="008A7E29">
      <w:pPr>
        <w:widowControl w:val="0"/>
        <w:autoSpaceDE w:val="0"/>
        <w:autoSpaceDN w:val="0"/>
        <w:adjustRightInd w:val="0"/>
        <w:jc w:val="both"/>
        <w:rPr>
          <w:rFonts w:ascii="Didot" w:hAnsi="Didot" w:cs="Didot"/>
          <w:b/>
          <w:bCs/>
          <w:lang w:val="en-US"/>
        </w:rPr>
      </w:pPr>
    </w:p>
    <w:p w14:paraId="0C08530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b/>
          <w:bCs/>
          <w:sz w:val="22"/>
          <w:szCs w:val="22"/>
          <w:lang w:val="en-US"/>
        </w:rPr>
        <w:t>Introduction </w:t>
      </w:r>
    </w:p>
    <w:p w14:paraId="36671E0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w:t>
      </w:r>
    </w:p>
    <w:p w14:paraId="2CF883A8"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There are signs that organized violence around the world is worsening. Countries in Africa, the Middle East, Asia and Europe are wracked by conflict, crime, terrorism or some combination of all three. The empirical record, however, suggests that the situation is not as grim as many believe. The frequency of conflict between and within countries has actually declined over the last 50 years. Fewer people are dying in wars than in the past.</w:t>
      </w:r>
    </w:p>
    <w:p w14:paraId="54DFA0F1"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222E206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But take a closer look and you can see that the landscapes of organized violence are also changing. It is not so much nation states that are gripped by warfare, crime and terror, but our cities: violence is migrating to the metropole.  This is to be expected. After all, most people today live in cities, and not the countryside. </w:t>
      </w:r>
      <w:proofErr w:type="gramStart"/>
      <w:r w:rsidRPr="008B4D4B">
        <w:rPr>
          <w:rFonts w:ascii="Didot" w:hAnsi="Didot" w:cs="Didot"/>
          <w:sz w:val="22"/>
          <w:szCs w:val="22"/>
          <w:lang w:val="en-US"/>
        </w:rPr>
        <w:t>Our political and economic affairs are increasingly governed by cities and mayors</w:t>
      </w:r>
      <w:proofErr w:type="gramEnd"/>
      <w:r w:rsidRPr="008B4D4B">
        <w:rPr>
          <w:rFonts w:ascii="Didot" w:hAnsi="Didot" w:cs="Didot"/>
          <w:sz w:val="22"/>
          <w:szCs w:val="22"/>
          <w:lang w:val="en-US"/>
        </w:rPr>
        <w:t>.</w:t>
      </w:r>
    </w:p>
    <w:p w14:paraId="5E9D197B"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4BE76145"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Most commentators laud the arrival of the city and see in it, revolutionary promise. They see in this urban turn, a chance to revitalize creativity, innovation and jump-start prosperity. Yet for every city that has “arrived” there are others that have “fallen behind”. There are some cities that have literally dropped off the grid. We could call these “fragile cities” and they present a challenge to their residents, their countries and the world.</w:t>
      </w:r>
    </w:p>
    <w:p w14:paraId="068B68E4"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2D43979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Cities – especially fragile cities – will increasingly define the landscape of stability and development. The talk will consider five major trends that will define the role and place of fragile cities. I will also highlight several ways to think about preventing and diminishing violence in these urban centers, and reducing the global toll of violence over the next 30 years.</w:t>
      </w:r>
    </w:p>
    <w:p w14:paraId="151C695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7E02A38B"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b/>
          <w:bCs/>
          <w:sz w:val="22"/>
          <w:szCs w:val="22"/>
          <w:lang w:val="en-US"/>
        </w:rPr>
        <w:t>Five mega risks</w:t>
      </w:r>
    </w:p>
    <w:p w14:paraId="4649036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7A13920D" w14:textId="77777777" w:rsidR="00540C57" w:rsidRPr="008B4D4B" w:rsidRDefault="00540C57" w:rsidP="008A7E29">
      <w:pPr>
        <w:widowControl w:val="0"/>
        <w:autoSpaceDE w:val="0"/>
        <w:autoSpaceDN w:val="0"/>
        <w:adjustRightInd w:val="0"/>
        <w:jc w:val="both"/>
        <w:rPr>
          <w:rFonts w:ascii="Didot" w:hAnsi="Didot" w:cs="Didot"/>
          <w:b/>
          <w:i/>
          <w:sz w:val="22"/>
          <w:szCs w:val="22"/>
          <w:lang w:val="en-US"/>
        </w:rPr>
      </w:pPr>
      <w:r w:rsidRPr="008B4D4B">
        <w:rPr>
          <w:rFonts w:ascii="Didot" w:hAnsi="Didot" w:cs="Didot"/>
          <w:b/>
          <w:i/>
          <w:sz w:val="22"/>
          <w:szCs w:val="22"/>
          <w:lang w:val="en-US"/>
        </w:rPr>
        <w:t>Geography</w:t>
      </w:r>
    </w:p>
    <w:p w14:paraId="5BD6F98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613087B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The geography of violence is changing before our very eyes. The frequency and intensity of war has declined over the past fifty years, notwithstanding a recent surge. The decline of war also coincides with significant reductions of homicidal violence, especially in industrialized countries over the past few centuries. These two facts are probably among the most extraordinary, if unheralded, successes of human history. </w:t>
      </w:r>
    </w:p>
    <w:p w14:paraId="1DD43E9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72730EE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But over the past few decades there has been a marked shift in the locus of organized and interpersonal violence – with some parts of the world more affected than others. There are 10 times more people dying outside war zones than in them. This is a consequence of diminished conflicts. To put a number on this – roughly 55,000 people die in the world´s +/-30 conflicts each year. This compares to around 525,000 people who die violently in other countries. Yet violence is still stubbornly high in the Americas, Africa and the Middle East – several times the global average. Of the top 50 most dangerous cities, about 47 of them are in Latin America and the Caribbean. And things get worse when you consider their cities.</w:t>
      </w:r>
    </w:p>
    <w:p w14:paraId="430EEBF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2E80145D" w14:textId="77777777" w:rsidR="00540C57" w:rsidRPr="008B4D4B" w:rsidRDefault="00540C57" w:rsidP="008A7E29">
      <w:pPr>
        <w:widowControl w:val="0"/>
        <w:autoSpaceDE w:val="0"/>
        <w:autoSpaceDN w:val="0"/>
        <w:adjustRightInd w:val="0"/>
        <w:jc w:val="both"/>
        <w:rPr>
          <w:rFonts w:ascii="Didot" w:hAnsi="Didot" w:cs="Didot"/>
          <w:b/>
          <w:i/>
          <w:sz w:val="22"/>
          <w:szCs w:val="22"/>
          <w:lang w:val="en-US"/>
        </w:rPr>
      </w:pPr>
      <w:r w:rsidRPr="008B4D4B">
        <w:rPr>
          <w:rFonts w:ascii="Didot" w:hAnsi="Didot" w:cs="Didot"/>
          <w:b/>
          <w:i/>
          <w:sz w:val="22"/>
          <w:szCs w:val="22"/>
          <w:lang w:val="en-US"/>
        </w:rPr>
        <w:t>Topography</w:t>
      </w:r>
    </w:p>
    <w:p w14:paraId="029A0A4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6A882A9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If violence is concentrating geographically, it is also being reconfigured to the planet´s new topography. The physical map of the world is transforming: there has been a massive </w:t>
      </w:r>
      <w:proofErr w:type="gramStart"/>
      <w:r w:rsidRPr="008B4D4B">
        <w:rPr>
          <w:rFonts w:ascii="Didot" w:hAnsi="Didot" w:cs="Didot"/>
          <w:sz w:val="22"/>
          <w:szCs w:val="22"/>
          <w:lang w:val="en-US"/>
        </w:rPr>
        <w:t>shift</w:t>
      </w:r>
      <w:proofErr w:type="gramEnd"/>
      <w:r w:rsidRPr="008B4D4B">
        <w:rPr>
          <w:rFonts w:ascii="Didot" w:hAnsi="Didot" w:cs="Didot"/>
          <w:sz w:val="22"/>
          <w:szCs w:val="22"/>
          <w:lang w:val="en-US"/>
        </w:rPr>
        <w:t xml:space="preserve"> in population to cities, especially since the second half of the twentieth century. Latin America is 80% urban, followed by Europe at 75%, the Middle East at 60% and then Africa at 37% and Asia at 30%</w:t>
      </w:r>
    </w:p>
    <w:p w14:paraId="04D7C26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644A7D9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The dominance of the city is probably one of the most stunning sociological developments of the past 50 years. To put the pace and scale of urbanization in perspective, consider that in the 1800s, just 1 in 30 people lived in cities. Today 1 in 2 people live in cities. And over the next 15 years this ratio will rise to 3 in 5. The expansion of cities is neither even nor equitable. By 2030, about half of the 5 billion city dwellers will be living in slum</w:t>
      </w:r>
    </w:p>
    <w:p w14:paraId="18C16B05"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4F334BC6"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And it is important to stress that it is not necessarily the size of cities that matters. After all, with 33 million people, Tokyo is the largest and some might even say safest city in the world. Rather, it is the density and speed of population growth that predicts violence. What we are seeing is “turbo-urbanization” in some parts of the world, and it is this that is giving rise to fragile cities. Dhaka, Karachi, Kinchasa and Lagos are today about 40 times larger today than they were in 1950. We call these “primate cities”.</w:t>
      </w:r>
    </w:p>
    <w:p w14:paraId="7DEEC42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4BE88C46" w14:textId="77777777" w:rsidR="00540C57" w:rsidRPr="008B4D4B" w:rsidRDefault="00540C57" w:rsidP="008A7E29">
      <w:pPr>
        <w:widowControl w:val="0"/>
        <w:autoSpaceDE w:val="0"/>
        <w:autoSpaceDN w:val="0"/>
        <w:adjustRightInd w:val="0"/>
        <w:jc w:val="both"/>
        <w:rPr>
          <w:rFonts w:ascii="Didot" w:hAnsi="Didot" w:cs="Didot"/>
          <w:b/>
          <w:i/>
          <w:sz w:val="22"/>
          <w:szCs w:val="22"/>
          <w:lang w:val="en-US"/>
        </w:rPr>
      </w:pPr>
      <w:r w:rsidRPr="008B4D4B">
        <w:rPr>
          <w:rFonts w:ascii="Didot" w:hAnsi="Didot" w:cs="Didot"/>
          <w:b/>
          <w:i/>
          <w:sz w:val="22"/>
          <w:szCs w:val="22"/>
          <w:lang w:val="en-US"/>
        </w:rPr>
        <w:t>Demography</w:t>
      </w:r>
    </w:p>
    <w:p w14:paraId="335A2D93"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2593399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Alongside shifts in geography and topography, are major transformations in demography. In most parts of the developing world, we have seen the rise of the so-called youth bulge. This is due to improvements in reducing child mortality coupled with the continuation of high fertility rates. The youth bulge is something we need to watch. What it means is that the share of the population in the 15 to </w:t>
      </w:r>
      <w:proofErr w:type="gramStart"/>
      <w:r w:rsidRPr="008B4D4B">
        <w:rPr>
          <w:rFonts w:ascii="Didot" w:hAnsi="Didot" w:cs="Didot"/>
          <w:sz w:val="22"/>
          <w:szCs w:val="22"/>
          <w:lang w:val="en-US"/>
        </w:rPr>
        <w:t>29 age</w:t>
      </w:r>
      <w:proofErr w:type="gramEnd"/>
      <w:r w:rsidRPr="008B4D4B">
        <w:rPr>
          <w:rFonts w:ascii="Didot" w:hAnsi="Didot" w:cs="Didot"/>
          <w:sz w:val="22"/>
          <w:szCs w:val="22"/>
          <w:lang w:val="en-US"/>
        </w:rPr>
        <w:t xml:space="preserve"> bracket is much higher in poor countries than in rich ones. </w:t>
      </w:r>
    </w:p>
    <w:p w14:paraId="1C144F5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52355489"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In the world´s fifty or so fragile countries, about 75% of the population is under 30. The expansion of the bulge is likely to persist for generations. It is not going to disappear. Most of these young people – owing to the search for opportunity, leisure, or in their flight from violence – congregate in cities, usually slums. Being young, poor, unemployed and male is a risk factor for violence and can shave off between 5 and 25 years of your life expectancy in fragile cities.</w:t>
      </w:r>
    </w:p>
    <w:p w14:paraId="62F8FCF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050E3AFF" w14:textId="77777777" w:rsidR="00540C57" w:rsidRPr="008B4D4B" w:rsidRDefault="00540C57" w:rsidP="008A7E29">
      <w:pPr>
        <w:widowControl w:val="0"/>
        <w:autoSpaceDE w:val="0"/>
        <w:autoSpaceDN w:val="0"/>
        <w:adjustRightInd w:val="0"/>
        <w:jc w:val="both"/>
        <w:rPr>
          <w:rFonts w:ascii="Didot" w:hAnsi="Didot" w:cs="Didot"/>
          <w:b/>
          <w:i/>
          <w:sz w:val="22"/>
          <w:szCs w:val="22"/>
          <w:lang w:val="en-US"/>
        </w:rPr>
      </w:pPr>
      <w:r w:rsidRPr="008B4D4B">
        <w:rPr>
          <w:rFonts w:ascii="Didot" w:hAnsi="Didot" w:cs="Didot"/>
          <w:b/>
          <w:i/>
          <w:sz w:val="22"/>
          <w:szCs w:val="22"/>
          <w:lang w:val="en-US"/>
        </w:rPr>
        <w:lastRenderedPageBreak/>
        <w:t>Ecology</w:t>
      </w:r>
    </w:p>
    <w:p w14:paraId="0DFA0E40"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4D0156E9"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And the growth of the city is congregating on the coast. Urban expansion in coastal areas – the littoral – is occurring at breakneck speed. This means that we are seeing the convergence of a massive concentration of people in a relatively small and confined geographic area. And what does this result in? Well, land consumption is at least twice as fast as population growth – and this means urban sprawl.</w:t>
      </w:r>
    </w:p>
    <w:p w14:paraId="4770022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2F10A13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Making matters worse, coasts are precisely those areas most vulnerable to climate change, especially rising sea levels. Take a look at this satellite map and see how populations are bunched up on the littoral. More than half of the world´s megacities are located in coastal areas. The cumulative effects of massive unplanned urbanization, climate events and coast location are a </w:t>
      </w:r>
      <w:proofErr w:type="gramStart"/>
      <w:r w:rsidRPr="008B4D4B">
        <w:rPr>
          <w:rFonts w:ascii="Didot" w:hAnsi="Didot" w:cs="Didot"/>
          <w:sz w:val="22"/>
          <w:szCs w:val="22"/>
          <w:lang w:val="en-US"/>
        </w:rPr>
        <w:t>powder-keg</w:t>
      </w:r>
      <w:proofErr w:type="gramEnd"/>
      <w:r w:rsidRPr="008B4D4B">
        <w:rPr>
          <w:rFonts w:ascii="Didot" w:hAnsi="Didot" w:cs="Didot"/>
          <w:sz w:val="22"/>
          <w:szCs w:val="22"/>
          <w:lang w:val="en-US"/>
        </w:rPr>
        <w:t>.</w:t>
      </w:r>
    </w:p>
    <w:p w14:paraId="2C0664A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0C50E737" w14:textId="77777777" w:rsidR="00540C57" w:rsidRPr="008B4D4B" w:rsidRDefault="00540C57" w:rsidP="008A7E29">
      <w:pPr>
        <w:widowControl w:val="0"/>
        <w:autoSpaceDE w:val="0"/>
        <w:autoSpaceDN w:val="0"/>
        <w:adjustRightInd w:val="0"/>
        <w:jc w:val="both"/>
        <w:rPr>
          <w:rFonts w:ascii="Didot" w:hAnsi="Didot" w:cs="Didot"/>
          <w:b/>
          <w:i/>
          <w:sz w:val="22"/>
          <w:szCs w:val="22"/>
          <w:lang w:val="en-US"/>
        </w:rPr>
      </w:pPr>
      <w:r w:rsidRPr="008B4D4B">
        <w:rPr>
          <w:rFonts w:ascii="Didot" w:hAnsi="Didot" w:cs="Didot"/>
          <w:b/>
          <w:i/>
          <w:sz w:val="22"/>
          <w:szCs w:val="22"/>
          <w:lang w:val="en-US"/>
        </w:rPr>
        <w:t>Technology</w:t>
      </w:r>
    </w:p>
    <w:p w14:paraId="16C2DC76"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4C90462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Cities, as we all know, are also hubs of innovation, industry and connectivity. And it is not just the wealthy that are benefiting from the digital revolution and open empowerment. Flying over slums you see a forest of satellite dishes, cables and towers. It can be in Rio or Mogadishu – it’s the same everywhere. There are also new challenges raised by the spread of smart phones and wi-fi.</w:t>
      </w:r>
    </w:p>
    <w:p w14:paraId="55E105BC"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34A5F1E3"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In addition to refocusing on cities as the future site of warfare, the US army has also made cyber the fifth domain of its battle-space (along with land, sea, air, space). We have also seen the remarkable (and unpredictable) power of digital protest, mostly in cities around the world. The opportunity for people to get connected has implications for global, but also local collective action. And this action is most intensely realized in cities.  </w:t>
      </w:r>
    </w:p>
    <w:p w14:paraId="5D3D5D37"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162DF953" w14:textId="77777777" w:rsidR="00540C57" w:rsidRPr="008B4D4B" w:rsidRDefault="00540C57" w:rsidP="008A7E29">
      <w:pPr>
        <w:widowControl w:val="0"/>
        <w:autoSpaceDE w:val="0"/>
        <w:autoSpaceDN w:val="0"/>
        <w:adjustRightInd w:val="0"/>
        <w:jc w:val="both"/>
        <w:rPr>
          <w:rFonts w:ascii="Didot" w:hAnsi="Didot" w:cs="Didot"/>
          <w:i/>
          <w:sz w:val="22"/>
          <w:szCs w:val="22"/>
          <w:lang w:val="en-US"/>
        </w:rPr>
      </w:pPr>
      <w:r w:rsidRPr="008B4D4B">
        <w:rPr>
          <w:rFonts w:ascii="Didot" w:hAnsi="Didot" w:cs="Didot"/>
          <w:b/>
          <w:bCs/>
          <w:i/>
          <w:sz w:val="22"/>
          <w:szCs w:val="22"/>
          <w:lang w:val="en-US"/>
        </w:rPr>
        <w:t>Changing course</w:t>
      </w:r>
    </w:p>
    <w:p w14:paraId="7CC29FAB"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51745E01"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Since urban growth is inevitable, reductions in urban violence depend on being able to manage the global commons. However, we confront a pivot point – where some cities will thrive and drive global growth and others will fail and threaten stability. We cannot disregard this challenge, focusing only on the promise of our global cities in the north.</w:t>
      </w:r>
    </w:p>
    <w:p w14:paraId="78472201"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5BF071CE"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First, we have to acknowledge these trends in urbanization and start a conversation among cities in the North and South about how to respond. A good diagnosis is the first step to defining effective interventions. We need to diagnose urban risks, and then build solutions to make them safer and more resilient. We could then start twinning our successful cities with our fragile ones, kick-starting a process of learning and collaboration between them.</w:t>
      </w:r>
    </w:p>
    <w:p w14:paraId="324AC5FA"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7999CF00"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Second, we must recognize the new geography of violence, and develop solutions accordingly. Wars are a major problem, and they need much more attention and assistance than they </w:t>
      </w:r>
      <w:proofErr w:type="gramStart"/>
      <w:r w:rsidRPr="008B4D4B">
        <w:rPr>
          <w:rFonts w:ascii="Didot" w:hAnsi="Didot" w:cs="Didot"/>
          <w:sz w:val="22"/>
          <w:szCs w:val="22"/>
          <w:lang w:val="en-US"/>
        </w:rPr>
        <w:t>are</w:t>
      </w:r>
      <w:proofErr w:type="gramEnd"/>
      <w:r w:rsidRPr="008B4D4B">
        <w:rPr>
          <w:rFonts w:ascii="Didot" w:hAnsi="Didot" w:cs="Didot"/>
          <w:sz w:val="22"/>
          <w:szCs w:val="22"/>
          <w:lang w:val="en-US"/>
        </w:rPr>
        <w:t xml:space="preserve"> currently receiving. But we also have epidemics of everyday violence – defined as more than 10 murders per 100,000 – in our big cities. If we want to half lethal violence around the world – then focus on cities.  Just a 25% reduction of lethal violence in Recife, Rio and Sao Paulo – could potentially halve </w:t>
      </w:r>
      <w:r w:rsidRPr="008B4D4B">
        <w:rPr>
          <w:rFonts w:ascii="Didot" w:hAnsi="Didot" w:cs="Didot"/>
          <w:sz w:val="22"/>
          <w:szCs w:val="22"/>
          <w:lang w:val="en-US"/>
        </w:rPr>
        <w:lastRenderedPageBreak/>
        <w:t>Brazil´s national homicide rate.</w:t>
      </w:r>
    </w:p>
    <w:p w14:paraId="1CA72245"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52DA80DD"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Third, we need to respond to the new topography of cities and make them safer and more livable for all. Cities are growing at breakneck speed - exceeding local carrying capacity. If we are going to prevent tomorrow´s violence, we need to build in safety from the start – open parks, street lighting, and service delivery. We need to anticipate the sprawl, rather than fight it. This means also creating new urban poles to manage growth.</w:t>
      </w:r>
    </w:p>
    <w:p w14:paraId="238E8949"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2E3577A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Fourth, we need to get to grips with the demography of cities. Young men do more of the killing. They are also the most likely to be killed. This has been the case for hundreds if not thousands of years. We need to find ways, as many cities are doing, of breaking this cycle. Recreation, school, employment, these are all critical and proven protective factors. </w:t>
      </w:r>
    </w:p>
    <w:p w14:paraId="543D36F6"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4B7252A9"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Fifth, the ecological trajectories of urban growth are perhaps the most chilling. People are on the move, and coasts are where most people have traditionally sought refuge. But now they are extra vulnerable. Obviously climate change is real. This does not mean we should not fight to minimize human impact through all means available. But it does mean that we need to plan ways to reduce vulnerability and build in </w:t>
      </w:r>
      <w:proofErr w:type="gramStart"/>
      <w:r w:rsidRPr="008B4D4B">
        <w:rPr>
          <w:rFonts w:ascii="Didot" w:hAnsi="Didot" w:cs="Didot"/>
          <w:sz w:val="22"/>
          <w:szCs w:val="22"/>
          <w:lang w:val="en-US"/>
        </w:rPr>
        <w:t>safe-guards</w:t>
      </w:r>
      <w:proofErr w:type="gramEnd"/>
      <w:r w:rsidRPr="008B4D4B">
        <w:rPr>
          <w:rFonts w:ascii="Didot" w:hAnsi="Didot" w:cs="Didot"/>
          <w:sz w:val="22"/>
          <w:szCs w:val="22"/>
          <w:lang w:val="en-US"/>
        </w:rPr>
        <w:t>.</w:t>
      </w:r>
    </w:p>
    <w:p w14:paraId="7BD9E852"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71B28434"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 xml:space="preserve">Sixth, and perhaps most promising, is technology. We are seeing exponential growth in technological innovations. There are opportunities to create new forms of solidarity in cities, creating networks of protection, mapping crime, and other forms of digital empowerment. While there are major risks, there are huge opportunities and we </w:t>
      </w:r>
      <w:proofErr w:type="gramStart"/>
      <w:r w:rsidRPr="008B4D4B">
        <w:rPr>
          <w:rFonts w:ascii="Didot" w:hAnsi="Didot" w:cs="Didot"/>
          <w:sz w:val="22"/>
          <w:szCs w:val="22"/>
          <w:lang w:val="en-US"/>
        </w:rPr>
        <w:t>need</w:t>
      </w:r>
      <w:proofErr w:type="gramEnd"/>
      <w:r w:rsidRPr="008B4D4B">
        <w:rPr>
          <w:rFonts w:ascii="Didot" w:hAnsi="Didot" w:cs="Didot"/>
          <w:sz w:val="22"/>
          <w:szCs w:val="22"/>
          <w:lang w:val="en-US"/>
        </w:rPr>
        <w:t xml:space="preserve"> to find ways to unleash and harness this innovation, especially in fragile cities.</w:t>
      </w:r>
    </w:p>
    <w:p w14:paraId="6886A6D0"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p>
    <w:p w14:paraId="10BA775F" w14:textId="77777777" w:rsidR="00540C57" w:rsidRPr="008B4D4B" w:rsidRDefault="00540C57" w:rsidP="008A7E29">
      <w:pPr>
        <w:widowControl w:val="0"/>
        <w:autoSpaceDE w:val="0"/>
        <w:autoSpaceDN w:val="0"/>
        <w:adjustRightInd w:val="0"/>
        <w:jc w:val="both"/>
        <w:rPr>
          <w:rFonts w:ascii="Didot" w:hAnsi="Didot" w:cs="Didot"/>
          <w:sz w:val="22"/>
          <w:szCs w:val="22"/>
          <w:lang w:val="en-US"/>
        </w:rPr>
      </w:pPr>
      <w:r w:rsidRPr="008B4D4B">
        <w:rPr>
          <w:rFonts w:ascii="Didot" w:hAnsi="Didot" w:cs="Didot"/>
          <w:sz w:val="22"/>
          <w:szCs w:val="22"/>
          <w:lang w:val="en-US"/>
        </w:rPr>
        <w:t>The 21st century is an urban one, and how we prepare for these trends will determine future trajectories of violence.</w:t>
      </w:r>
    </w:p>
    <w:p w14:paraId="5CF6863C" w14:textId="77777777" w:rsidR="002B35BA" w:rsidRPr="006916FC" w:rsidRDefault="002B35BA" w:rsidP="008A7E29">
      <w:pPr>
        <w:widowControl w:val="0"/>
        <w:autoSpaceDE w:val="0"/>
        <w:autoSpaceDN w:val="0"/>
        <w:adjustRightInd w:val="0"/>
        <w:jc w:val="both"/>
        <w:rPr>
          <w:rFonts w:ascii="Didot" w:hAnsi="Didot" w:cs="Didot"/>
          <w:lang w:val="en-US"/>
        </w:rPr>
      </w:pPr>
    </w:p>
    <w:p w14:paraId="5C822A03" w14:textId="77777777" w:rsidR="00160E26" w:rsidRPr="006916FC" w:rsidRDefault="00160E26" w:rsidP="008A7E29">
      <w:pPr>
        <w:widowControl w:val="0"/>
        <w:autoSpaceDE w:val="0"/>
        <w:autoSpaceDN w:val="0"/>
        <w:adjustRightInd w:val="0"/>
        <w:jc w:val="both"/>
        <w:rPr>
          <w:rFonts w:ascii="Didot" w:hAnsi="Didot" w:cs="Didot"/>
          <w:lang w:val="en-US"/>
        </w:rPr>
        <w:sectPr w:rsidR="00160E26" w:rsidRPr="006916FC" w:rsidSect="00160E26">
          <w:type w:val="continuous"/>
          <w:pgSz w:w="11900" w:h="16840"/>
          <w:pgMar w:top="1440" w:right="1800" w:bottom="1440" w:left="1800" w:header="708" w:footer="708" w:gutter="0"/>
          <w:pgNumType w:start="1"/>
          <w:cols w:space="708"/>
          <w:docGrid w:linePitch="360"/>
        </w:sectPr>
      </w:pPr>
    </w:p>
    <w:p w14:paraId="08929F44" w14:textId="77777777" w:rsidR="00540C57" w:rsidRPr="006916FC" w:rsidRDefault="00540C57" w:rsidP="008A7E29">
      <w:pPr>
        <w:widowControl w:val="0"/>
        <w:pBdr>
          <w:bottom w:val="single" w:sz="6" w:space="1" w:color="auto"/>
        </w:pBdr>
        <w:autoSpaceDE w:val="0"/>
        <w:autoSpaceDN w:val="0"/>
        <w:adjustRightInd w:val="0"/>
        <w:jc w:val="both"/>
        <w:rPr>
          <w:rFonts w:ascii="Didot" w:hAnsi="Didot" w:cs="Didot"/>
          <w:lang w:val="en-US"/>
        </w:rPr>
      </w:pPr>
    </w:p>
    <w:p w14:paraId="7BF4B5F0" w14:textId="77777777" w:rsidR="00B87FF5" w:rsidRPr="006916FC" w:rsidRDefault="00B87FF5" w:rsidP="008A7E29">
      <w:pPr>
        <w:widowControl w:val="0"/>
        <w:autoSpaceDE w:val="0"/>
        <w:autoSpaceDN w:val="0"/>
        <w:adjustRightInd w:val="0"/>
        <w:jc w:val="both"/>
        <w:rPr>
          <w:rFonts w:ascii="Didot" w:hAnsi="Didot" w:cs="Didot"/>
          <w:lang w:val="en-US"/>
        </w:rPr>
      </w:pPr>
    </w:p>
    <w:p w14:paraId="75F4A7E7" w14:textId="77777777" w:rsidR="00AC06AD" w:rsidRPr="006916FC" w:rsidRDefault="00AC06AD" w:rsidP="008A7E29">
      <w:pPr>
        <w:jc w:val="both"/>
        <w:rPr>
          <w:rFonts w:ascii="Didot" w:hAnsi="Didot" w:cs="Didot"/>
          <w:b/>
          <w:color w:val="121212"/>
          <w:sz w:val="28"/>
          <w:szCs w:val="28"/>
          <w:lang w:val="en-US"/>
        </w:rPr>
      </w:pPr>
    </w:p>
    <w:p w14:paraId="45DA4287" w14:textId="77777777" w:rsidR="00AC06AD" w:rsidRPr="006916FC" w:rsidRDefault="00AC06AD" w:rsidP="008A7E29">
      <w:pPr>
        <w:jc w:val="both"/>
        <w:rPr>
          <w:rFonts w:ascii="Didot" w:hAnsi="Didot" w:cs="Didot"/>
          <w:b/>
          <w:color w:val="121212"/>
          <w:sz w:val="28"/>
          <w:szCs w:val="28"/>
          <w:lang w:val="en-US"/>
        </w:rPr>
      </w:pPr>
      <w:r w:rsidRPr="006916FC">
        <w:rPr>
          <w:rFonts w:ascii="Didot" w:hAnsi="Didot" w:cs="Didot"/>
          <w:b/>
          <w:color w:val="121212"/>
          <w:sz w:val="28"/>
          <w:szCs w:val="28"/>
          <w:lang w:val="en-US"/>
        </w:rPr>
        <w:t>Alys Willman</w:t>
      </w:r>
    </w:p>
    <w:p w14:paraId="61370763" w14:textId="77777777" w:rsidR="00362AAD" w:rsidRPr="006916FC" w:rsidRDefault="00362AAD" w:rsidP="008A7E29">
      <w:pPr>
        <w:jc w:val="both"/>
        <w:rPr>
          <w:rFonts w:ascii="Didot" w:hAnsi="Didot" w:cs="Didot"/>
          <w:b/>
          <w:color w:val="121212"/>
          <w:lang w:val="en-US"/>
        </w:rPr>
      </w:pPr>
    </w:p>
    <w:p w14:paraId="172352B5"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78888961" w14:textId="77777777" w:rsidR="002B35BA" w:rsidRPr="006916FC" w:rsidRDefault="002B35BA" w:rsidP="008A7E29">
      <w:pPr>
        <w:jc w:val="both"/>
        <w:rPr>
          <w:rFonts w:ascii="Didot" w:hAnsi="Didot" w:cs="Didot"/>
          <w:b/>
          <w:color w:val="121212"/>
          <w:lang w:val="en-US"/>
        </w:rPr>
      </w:pPr>
    </w:p>
    <w:p w14:paraId="4128B941" w14:textId="77777777" w:rsidR="00AC06AD" w:rsidRPr="008B4D4B" w:rsidRDefault="00AC06AD" w:rsidP="008A7E29">
      <w:pPr>
        <w:jc w:val="both"/>
        <w:rPr>
          <w:rFonts w:ascii="Didot" w:hAnsi="Didot" w:cs="Didot"/>
          <w:color w:val="121212"/>
          <w:sz w:val="22"/>
          <w:szCs w:val="22"/>
          <w:lang w:val="en-US"/>
        </w:rPr>
      </w:pPr>
      <w:r w:rsidRPr="008B4D4B">
        <w:rPr>
          <w:rFonts w:ascii="Didot" w:hAnsi="Didot" w:cs="Didot"/>
          <w:color w:val="121212"/>
          <w:sz w:val="22"/>
          <w:szCs w:val="22"/>
          <w:lang w:val="en-US"/>
        </w:rPr>
        <w:t>Alys Willman, PhD</w:t>
      </w:r>
      <w:proofErr w:type="gramStart"/>
      <w:r w:rsidRPr="008B4D4B">
        <w:rPr>
          <w:rFonts w:ascii="Didot" w:hAnsi="Didot" w:cs="Didot"/>
          <w:color w:val="121212"/>
          <w:sz w:val="22"/>
          <w:szCs w:val="22"/>
          <w:lang w:val="en-US"/>
        </w:rPr>
        <w:t>,  is</w:t>
      </w:r>
      <w:proofErr w:type="gramEnd"/>
      <w:r w:rsidRPr="008B4D4B">
        <w:rPr>
          <w:rFonts w:ascii="Didot" w:hAnsi="Didot" w:cs="Didot"/>
          <w:color w:val="121212"/>
          <w:sz w:val="22"/>
          <w:szCs w:val="22"/>
          <w:lang w:val="en-US"/>
        </w:rPr>
        <w:t xml:space="preserve"> a Social Development Specialist for the Social Cohesion and Violence Prevention Team at the World Bank. She leads analytical work and project support </w:t>
      </w:r>
      <w:proofErr w:type="gramStart"/>
      <w:r w:rsidRPr="008B4D4B">
        <w:rPr>
          <w:rFonts w:ascii="Didot" w:hAnsi="Didot" w:cs="Didot"/>
          <w:color w:val="121212"/>
          <w:sz w:val="22"/>
          <w:szCs w:val="22"/>
          <w:lang w:val="en-US"/>
        </w:rPr>
        <w:t>on  violence</w:t>
      </w:r>
      <w:proofErr w:type="gramEnd"/>
      <w:r w:rsidRPr="008B4D4B">
        <w:rPr>
          <w:rFonts w:ascii="Didot" w:hAnsi="Didot" w:cs="Didot"/>
          <w:color w:val="121212"/>
          <w:sz w:val="22"/>
          <w:szCs w:val="22"/>
          <w:lang w:val="en-US"/>
        </w:rPr>
        <w:t xml:space="preserve"> prevention and trauma.  She is the co-author of Violence in the City (2010), and Societal Dynamics and Fragility (2013), and has authored numerous articles and reports on violence and illicit economies. Prior to joining the World Bank she worked with NGOs in five Latin American countries, and taught at The New School Graduate Program in International Affairs. She is also a volunteer sexual assault counselor at the DC Rape Crisis Center.</w:t>
      </w:r>
    </w:p>
    <w:p w14:paraId="5257C1BD" w14:textId="77777777" w:rsidR="001A057F" w:rsidRPr="006916FC" w:rsidRDefault="001A057F" w:rsidP="008A7E29">
      <w:pPr>
        <w:pBdr>
          <w:bottom w:val="single" w:sz="6" w:space="1" w:color="auto"/>
        </w:pBdr>
        <w:jc w:val="both"/>
        <w:rPr>
          <w:rFonts w:ascii="Didot" w:hAnsi="Didot" w:cs="Didot"/>
          <w:color w:val="121212"/>
          <w:sz w:val="22"/>
          <w:szCs w:val="22"/>
          <w:lang w:val="en-US"/>
        </w:rPr>
      </w:pPr>
    </w:p>
    <w:p w14:paraId="0BB0424F" w14:textId="77777777" w:rsidR="001A057F" w:rsidRPr="006916FC" w:rsidRDefault="001A057F" w:rsidP="008A7E29">
      <w:pPr>
        <w:jc w:val="both"/>
        <w:rPr>
          <w:rFonts w:ascii="Didot" w:hAnsi="Didot" w:cs="Didot"/>
          <w:color w:val="121212"/>
          <w:sz w:val="22"/>
          <w:szCs w:val="22"/>
          <w:lang w:val="en-US"/>
        </w:rPr>
      </w:pPr>
    </w:p>
    <w:p w14:paraId="290B496C" w14:textId="601BF40E" w:rsidR="002B35BA" w:rsidRPr="006916FC" w:rsidRDefault="000D6A2E" w:rsidP="008A7E29">
      <w:pPr>
        <w:jc w:val="both"/>
        <w:rPr>
          <w:rFonts w:ascii="Didot" w:hAnsi="Didot" w:cs="Didot"/>
          <w:b/>
          <w:color w:val="121212"/>
          <w:lang w:val="en-US"/>
        </w:rPr>
      </w:pPr>
      <w:r w:rsidRPr="006916FC">
        <w:rPr>
          <w:rFonts w:ascii="Didot" w:hAnsi="Didot" w:cs="Didot"/>
          <w:b/>
          <w:color w:val="121212"/>
          <w:lang w:val="en-US"/>
        </w:rPr>
        <w:t>Abstract</w:t>
      </w:r>
    </w:p>
    <w:p w14:paraId="2B6EB51F" w14:textId="77777777" w:rsidR="0008503C" w:rsidRPr="006916FC" w:rsidRDefault="0008503C" w:rsidP="008A7E29">
      <w:pPr>
        <w:jc w:val="both"/>
        <w:rPr>
          <w:rFonts w:ascii="Didot" w:hAnsi="Didot" w:cs="Didot"/>
          <w:b/>
          <w:color w:val="121212"/>
          <w:lang w:val="en-US"/>
        </w:rPr>
      </w:pPr>
    </w:p>
    <w:p w14:paraId="259A0CDF" w14:textId="77777777" w:rsidR="00AC06AD" w:rsidRPr="006916FC" w:rsidRDefault="00AC06AD" w:rsidP="008A7E29">
      <w:pPr>
        <w:jc w:val="both"/>
        <w:rPr>
          <w:rFonts w:ascii="Didot" w:hAnsi="Didot" w:cs="Didot"/>
          <w:b/>
          <w:color w:val="121212"/>
          <w:lang w:val="en-US"/>
        </w:rPr>
      </w:pPr>
      <w:r w:rsidRPr="006916FC">
        <w:rPr>
          <w:rFonts w:ascii="Didot" w:hAnsi="Didot" w:cs="Didot"/>
          <w:b/>
          <w:color w:val="121212"/>
          <w:lang w:val="en-US"/>
        </w:rPr>
        <w:t>Community-based Strategies to Reduce Youth Violence</w:t>
      </w:r>
    </w:p>
    <w:p w14:paraId="090E984B" w14:textId="77777777" w:rsidR="00EE46BD" w:rsidRPr="006916FC" w:rsidRDefault="00EE46BD" w:rsidP="008A7E29">
      <w:pPr>
        <w:jc w:val="both"/>
        <w:rPr>
          <w:rFonts w:ascii="Didot" w:hAnsi="Didot" w:cs="Didot"/>
          <w:color w:val="121212"/>
          <w:sz w:val="22"/>
          <w:szCs w:val="22"/>
          <w:lang w:val="en-US"/>
        </w:rPr>
      </w:pPr>
    </w:p>
    <w:p w14:paraId="21EC97A3" w14:textId="77777777" w:rsidR="00AC06AD" w:rsidRPr="008B4D4B" w:rsidRDefault="00AC06AD"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The growing population of youth in developing countries is often seen as a threat to stability, and indeed, youth have often been protagonists in social and political unrest. Youth violence has often been considered a result of unemployment or idleness, leading to blanket responses providing (mostly temporary) employment for youth. These programs have often limited success because they do not address the complex driving factors for youth violence or the intergenerational tensions that reinforce stigma against youth.</w:t>
      </w:r>
    </w:p>
    <w:p w14:paraId="0C820CC7" w14:textId="77777777" w:rsidR="00AC06AD" w:rsidRPr="008B4D4B" w:rsidRDefault="00AC06AD" w:rsidP="008A7E29">
      <w:pPr>
        <w:jc w:val="both"/>
        <w:rPr>
          <w:rFonts w:ascii="Didot" w:hAnsi="Didot" w:cs="Didot"/>
          <w:color w:val="121212"/>
          <w:sz w:val="22"/>
          <w:szCs w:val="22"/>
          <w:lang w:val="en-US"/>
        </w:rPr>
      </w:pPr>
      <w:r w:rsidRPr="008B4D4B">
        <w:rPr>
          <w:rFonts w:ascii="Didot" w:hAnsi="Didot" w:cs="Didot"/>
          <w:color w:val="121212"/>
          <w:sz w:val="22"/>
          <w:szCs w:val="22"/>
          <w:lang w:val="en-US"/>
        </w:rPr>
        <w:t>My talk will give an overview of what the World Bank has learned through our growing investment in youth-oriented projects, especially those with a violence prevention focus. I will describe how the Bank's general approach to youth is evolving from a focus on (mostly temporary) employment toward more integrated interventions that address the various drivers of youth exclusion and violence, as well as intergenerational tensions that reinforce stigma against youth. While evidence on impact is still scarce, there are indications of some promising practices, especially when targeted activities are combined with interventions to address underlying structural factors.</w:t>
      </w:r>
    </w:p>
    <w:p w14:paraId="7430E97C" w14:textId="77777777" w:rsidR="00362AAD" w:rsidRPr="006916FC" w:rsidRDefault="00362AAD" w:rsidP="008A7E29">
      <w:pPr>
        <w:pBdr>
          <w:bottom w:val="single" w:sz="6" w:space="1" w:color="auto"/>
        </w:pBdr>
        <w:jc w:val="both"/>
        <w:rPr>
          <w:rFonts w:ascii="Didot" w:hAnsi="Didot" w:cs="Didot"/>
          <w:b/>
          <w:color w:val="121212"/>
          <w:lang w:val="en-US"/>
        </w:rPr>
      </w:pPr>
    </w:p>
    <w:p w14:paraId="137A26EC" w14:textId="77777777" w:rsidR="00B87FF5" w:rsidRPr="006916FC" w:rsidRDefault="00B87FF5" w:rsidP="008A7E29">
      <w:pPr>
        <w:jc w:val="both"/>
        <w:rPr>
          <w:rFonts w:ascii="Didot" w:hAnsi="Didot" w:cs="Didot"/>
          <w:b/>
          <w:color w:val="121212"/>
          <w:lang w:val="en-US"/>
        </w:rPr>
      </w:pPr>
    </w:p>
    <w:p w14:paraId="5033DC5D" w14:textId="77777777" w:rsidR="00AC06AD" w:rsidRPr="006916FC" w:rsidRDefault="00AC06AD" w:rsidP="008A7E29">
      <w:pPr>
        <w:pStyle w:val="Heading2"/>
        <w:jc w:val="both"/>
        <w:rPr>
          <w:rFonts w:ascii="Didot" w:hAnsi="Didot" w:cs="Didot"/>
          <w:color w:val="auto"/>
          <w:sz w:val="34"/>
          <w:szCs w:val="34"/>
        </w:rPr>
      </w:pPr>
      <w:bookmarkStart w:id="45" w:name="_Toc272639905"/>
      <w:bookmarkStart w:id="46" w:name="_Toc272645028"/>
      <w:r w:rsidRPr="006916FC">
        <w:rPr>
          <w:rFonts w:ascii="Didot" w:hAnsi="Didot" w:cs="Didot"/>
          <w:color w:val="auto"/>
          <w:sz w:val="34"/>
          <w:szCs w:val="34"/>
        </w:rPr>
        <w:t>Amy Nivette</w:t>
      </w:r>
      <w:bookmarkEnd w:id="45"/>
      <w:bookmarkEnd w:id="46"/>
    </w:p>
    <w:p w14:paraId="7099B133" w14:textId="77777777" w:rsidR="00362AAD" w:rsidRPr="006916FC" w:rsidRDefault="00362AAD" w:rsidP="008A7E29">
      <w:pPr>
        <w:jc w:val="both"/>
        <w:rPr>
          <w:rFonts w:ascii="Didot" w:hAnsi="Didot" w:cs="Didot"/>
          <w:b/>
          <w:color w:val="121212"/>
          <w:lang w:val="en-US"/>
        </w:rPr>
      </w:pPr>
    </w:p>
    <w:p w14:paraId="532FF46D"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310C7F64" w14:textId="77777777" w:rsidR="002B35BA" w:rsidRPr="006916FC" w:rsidRDefault="002B35BA" w:rsidP="008A7E29">
      <w:pPr>
        <w:jc w:val="both"/>
        <w:rPr>
          <w:rFonts w:ascii="Didot" w:hAnsi="Didot" w:cs="Didot"/>
          <w:b/>
          <w:color w:val="121212"/>
          <w:lang w:val="en-US"/>
        </w:rPr>
      </w:pPr>
    </w:p>
    <w:p w14:paraId="71C0E006" w14:textId="77777777" w:rsidR="00AC06AD" w:rsidRPr="008B4D4B" w:rsidRDefault="00AC06AD" w:rsidP="008A7E29">
      <w:pPr>
        <w:jc w:val="both"/>
        <w:rPr>
          <w:rFonts w:ascii="Didot" w:hAnsi="Didot" w:cs="Didot"/>
          <w:color w:val="121212"/>
          <w:sz w:val="22"/>
          <w:szCs w:val="22"/>
          <w:lang w:val="en-US"/>
        </w:rPr>
      </w:pPr>
      <w:r w:rsidRPr="008B4D4B">
        <w:rPr>
          <w:rFonts w:ascii="Didot" w:hAnsi="Didot" w:cs="Didot"/>
          <w:color w:val="121212"/>
          <w:sz w:val="22"/>
          <w:szCs w:val="22"/>
          <w:lang w:val="en-US"/>
        </w:rPr>
        <w:t>Dr. Nivette is a Postdoctoral Prize Research Fellow in Sociology at Nuffield College, University of Oxford. Dr. Nivette earned her Mphil and Ph.D. from the Institute of Criminology, University of Cambridge in 2012. Her research interests broadly concern the cross-national and cross-cultural study of violence, particularly in relation to the legitimacy of political and social institutions. Currently, she is working on projects concerning sex differences in physical aggression among adolescents; legitimacy and informal social control in Accra, Ghana; cross-national patterns of political assassinations; and support for vigilante homicide in Latin America. She has published on the topics of legitimacy, aggression, and homicide in international journals such as Aggressive Behavior, Homicide Studies, British Journal of Criminology, and Theoretical Criminology. Dr. Nivette is also an Associate Member of the Violence Research Centre at the Institute of Criminology, University of Cambridge.</w:t>
      </w:r>
    </w:p>
    <w:p w14:paraId="0F5F2BA3" w14:textId="77777777" w:rsidR="001A057F" w:rsidRPr="008B4D4B" w:rsidRDefault="001A057F" w:rsidP="008A7E29">
      <w:pPr>
        <w:pBdr>
          <w:bottom w:val="single" w:sz="6" w:space="1" w:color="auto"/>
        </w:pBdr>
        <w:jc w:val="both"/>
        <w:rPr>
          <w:rFonts w:ascii="Didot" w:hAnsi="Didot" w:cs="Didot"/>
          <w:color w:val="121212"/>
          <w:sz w:val="22"/>
          <w:szCs w:val="22"/>
          <w:lang w:val="en-US"/>
        </w:rPr>
      </w:pPr>
    </w:p>
    <w:p w14:paraId="5119BD98" w14:textId="77777777" w:rsidR="001A057F" w:rsidRPr="006916FC" w:rsidRDefault="001A057F" w:rsidP="008A7E29">
      <w:pPr>
        <w:jc w:val="both"/>
        <w:rPr>
          <w:rFonts w:ascii="Didot" w:hAnsi="Didot" w:cs="Didot"/>
          <w:b/>
          <w:color w:val="121212"/>
          <w:sz w:val="22"/>
          <w:szCs w:val="22"/>
          <w:lang w:val="en-US"/>
        </w:rPr>
      </w:pPr>
    </w:p>
    <w:p w14:paraId="638B3E98" w14:textId="0CC0B6CC" w:rsidR="000D6A2E" w:rsidRPr="006916FC" w:rsidRDefault="008B4D4B" w:rsidP="008A7E29">
      <w:pPr>
        <w:jc w:val="both"/>
        <w:rPr>
          <w:rFonts w:ascii="Didot" w:hAnsi="Didot" w:cs="Didot"/>
          <w:b/>
          <w:color w:val="121212"/>
          <w:lang w:val="en-US"/>
        </w:rPr>
      </w:pPr>
      <w:r>
        <w:rPr>
          <w:rFonts w:ascii="Didot" w:hAnsi="Didot" w:cs="Didot"/>
          <w:b/>
          <w:color w:val="121212"/>
          <w:lang w:val="en-US"/>
        </w:rPr>
        <w:br w:type="column"/>
      </w:r>
      <w:r w:rsidR="000D6A2E" w:rsidRPr="006916FC">
        <w:rPr>
          <w:rFonts w:ascii="Didot" w:hAnsi="Didot" w:cs="Didot"/>
          <w:b/>
          <w:color w:val="121212"/>
          <w:lang w:val="en-US"/>
        </w:rPr>
        <w:lastRenderedPageBreak/>
        <w:t>Abstract</w:t>
      </w:r>
    </w:p>
    <w:p w14:paraId="477FD9EC" w14:textId="77777777" w:rsidR="002B35BA" w:rsidRPr="006916FC" w:rsidRDefault="002B35BA" w:rsidP="008A7E29">
      <w:pPr>
        <w:jc w:val="both"/>
        <w:rPr>
          <w:rFonts w:ascii="Didot" w:hAnsi="Didot" w:cs="Didot"/>
          <w:b/>
          <w:color w:val="121212"/>
          <w:lang w:val="en-US"/>
        </w:rPr>
      </w:pPr>
    </w:p>
    <w:p w14:paraId="6FED26E8" w14:textId="77777777" w:rsidR="00AC06AD" w:rsidRPr="006916FC" w:rsidRDefault="00AC06AD" w:rsidP="008A7E29">
      <w:pPr>
        <w:jc w:val="both"/>
        <w:rPr>
          <w:rFonts w:ascii="Didot" w:hAnsi="Didot" w:cs="Didot"/>
          <w:b/>
          <w:color w:val="121212"/>
          <w:lang w:val="en-US"/>
        </w:rPr>
      </w:pPr>
      <w:r w:rsidRPr="006916FC">
        <w:rPr>
          <w:rFonts w:ascii="Didot" w:hAnsi="Didot" w:cs="Didot"/>
          <w:b/>
          <w:color w:val="121212"/>
          <w:lang w:val="en-US"/>
        </w:rPr>
        <w:t>Lessons From a Comparative Analysis of Successful Reductions of Public Violence Across Cities</w:t>
      </w:r>
    </w:p>
    <w:p w14:paraId="18FDCC20" w14:textId="77777777" w:rsidR="00EE46BD" w:rsidRPr="006916FC" w:rsidRDefault="00EE46BD" w:rsidP="008A7E29">
      <w:pPr>
        <w:jc w:val="both"/>
        <w:rPr>
          <w:rFonts w:ascii="Didot" w:hAnsi="Didot" w:cs="Didot"/>
          <w:b/>
          <w:color w:val="121212"/>
          <w:lang w:val="en-US"/>
        </w:rPr>
      </w:pPr>
    </w:p>
    <w:p w14:paraId="77FA7C60" w14:textId="77777777" w:rsidR="00AC06AD" w:rsidRPr="008B4D4B" w:rsidRDefault="00AC06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roofErr w:type="gramStart"/>
      <w:r w:rsidRPr="008B4D4B">
        <w:rPr>
          <w:rFonts w:ascii="Didot" w:hAnsi="Didot" w:cs="Didot"/>
          <w:color w:val="121212"/>
          <w:sz w:val="22"/>
          <w:szCs w:val="22"/>
          <w:lang w:val="en-US"/>
        </w:rPr>
        <w:t>Most macro-level studies examining homicide declines focus primarily on national-level trends and explanations.</w:t>
      </w:r>
      <w:proofErr w:type="gramEnd"/>
      <w:r w:rsidRPr="008B4D4B">
        <w:rPr>
          <w:rFonts w:ascii="Didot" w:hAnsi="Didot" w:cs="Didot"/>
          <w:color w:val="121212"/>
          <w:sz w:val="22"/>
          <w:szCs w:val="22"/>
          <w:lang w:val="en-US"/>
        </w:rPr>
        <w:t xml:space="preserve"> This approach overlooks sub-national differences in lethal violence reductions across cities. Some cities are more successful in reducing lethal violence than others. For example, the murder rate in New York City fell from 30.7 offenses per 100,000 in 1990 to 5.1 in 2012, whereas the murder rate in Chicago declined more slowly from the same level to 18.5 in the same time period. On a more dramatic scale, the murder rate in Medellín, Colombia declined from 232.4 deaths per 100,000 in 1990 to 38 in 2013, whilst the murder rate in Cali increased across the same time period (from 66 in 1990 to 84.67 in 2013). What might have caused lethal violence to decline in New York City and Medellín, but not (or to a lesser extent) in Chicago and Cali? </w:t>
      </w:r>
      <w:proofErr w:type="gramStart"/>
      <w:r w:rsidRPr="008B4D4B">
        <w:rPr>
          <w:rFonts w:ascii="Didot" w:hAnsi="Didot" w:cs="Didot"/>
          <w:color w:val="121212"/>
          <w:sz w:val="22"/>
          <w:szCs w:val="22"/>
          <w:lang w:val="en-US"/>
        </w:rPr>
        <w:t>In particular, what violence-reduction strategies and policies did these "success stories" implement that may have contributed to these declines?</w:t>
      </w:r>
      <w:proofErr w:type="gramEnd"/>
      <w:r w:rsidRPr="008B4D4B">
        <w:rPr>
          <w:rFonts w:ascii="Didot" w:hAnsi="Didot" w:cs="Didot"/>
          <w:color w:val="121212"/>
          <w:sz w:val="22"/>
          <w:szCs w:val="22"/>
          <w:lang w:val="en-US"/>
        </w:rPr>
        <w:t xml:space="preserve"> This paper uses a matched-city comparative design to examine the effects of city-level public policies on lethal violence across six countries. Specifically, this paper focuses on the effects of public policies designed to reduce crime, such as drugs, policing, imprisonment, and organized crime policies.</w:t>
      </w:r>
    </w:p>
    <w:p w14:paraId="5F8276DE" w14:textId="77777777" w:rsidR="001A057F" w:rsidRPr="006916FC" w:rsidRDefault="001A057F"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2B171690" w14:textId="77777777" w:rsidR="00B87FF5" w:rsidRPr="006916FC" w:rsidRDefault="00B87FF5" w:rsidP="008A7E29">
      <w:pPr>
        <w:widowControl w:val="0"/>
        <w:autoSpaceDE w:val="0"/>
        <w:autoSpaceDN w:val="0"/>
        <w:adjustRightInd w:val="0"/>
        <w:spacing w:after="200"/>
        <w:jc w:val="both"/>
        <w:rPr>
          <w:rFonts w:ascii="Didot" w:hAnsi="Didot" w:cs="Didot"/>
          <w:b/>
          <w:color w:val="121212"/>
          <w:sz w:val="34"/>
          <w:szCs w:val="34"/>
          <w:lang w:val="en-US"/>
        </w:rPr>
      </w:pPr>
    </w:p>
    <w:p w14:paraId="2FC96C14" w14:textId="77777777" w:rsidR="00B87FF5" w:rsidRPr="006916FC" w:rsidRDefault="00B87FF5" w:rsidP="008A7E29">
      <w:pPr>
        <w:widowControl w:val="0"/>
        <w:autoSpaceDE w:val="0"/>
        <w:autoSpaceDN w:val="0"/>
        <w:adjustRightInd w:val="0"/>
        <w:spacing w:after="200"/>
        <w:jc w:val="both"/>
        <w:rPr>
          <w:rFonts w:ascii="Didot" w:hAnsi="Didot" w:cs="Didot"/>
          <w:b/>
          <w:color w:val="121212"/>
          <w:sz w:val="34"/>
          <w:szCs w:val="34"/>
          <w:lang w:val="en-US"/>
        </w:rPr>
      </w:pPr>
    </w:p>
    <w:p w14:paraId="5D4405F8" w14:textId="77777777" w:rsidR="00B87FF5" w:rsidRPr="006916FC" w:rsidRDefault="00B87FF5" w:rsidP="008A7E29">
      <w:pPr>
        <w:widowControl w:val="0"/>
        <w:autoSpaceDE w:val="0"/>
        <w:autoSpaceDN w:val="0"/>
        <w:adjustRightInd w:val="0"/>
        <w:spacing w:after="200"/>
        <w:jc w:val="both"/>
        <w:rPr>
          <w:rFonts w:ascii="Didot" w:hAnsi="Didot" w:cs="Didot"/>
          <w:b/>
          <w:color w:val="121212"/>
          <w:sz w:val="34"/>
          <w:szCs w:val="34"/>
          <w:lang w:val="en-US"/>
        </w:rPr>
      </w:pPr>
    </w:p>
    <w:p w14:paraId="15A5D89B" w14:textId="77777777" w:rsidR="00B87FF5" w:rsidRPr="006916FC" w:rsidRDefault="00B87FF5" w:rsidP="008A7E29">
      <w:pPr>
        <w:widowControl w:val="0"/>
        <w:autoSpaceDE w:val="0"/>
        <w:autoSpaceDN w:val="0"/>
        <w:adjustRightInd w:val="0"/>
        <w:spacing w:after="200"/>
        <w:jc w:val="both"/>
        <w:rPr>
          <w:rFonts w:ascii="Didot" w:hAnsi="Didot" w:cs="Didot"/>
          <w:b/>
          <w:color w:val="121212"/>
          <w:sz w:val="34"/>
          <w:szCs w:val="34"/>
          <w:lang w:val="en-US"/>
        </w:rPr>
      </w:pPr>
    </w:p>
    <w:p w14:paraId="292ACB28" w14:textId="3BEC55DE" w:rsidR="00B87FF5" w:rsidRPr="006916FC" w:rsidRDefault="002B35BA" w:rsidP="008A7E29">
      <w:pPr>
        <w:pStyle w:val="Heading1"/>
        <w:rPr>
          <w:sz w:val="34"/>
          <w:szCs w:val="34"/>
        </w:rPr>
      </w:pPr>
      <w:r w:rsidRPr="006916FC">
        <w:br w:type="column"/>
      </w:r>
      <w:r w:rsidR="001859F4" w:rsidRPr="006916FC">
        <w:lastRenderedPageBreak/>
        <w:br w:type="column"/>
      </w:r>
      <w:bookmarkStart w:id="47" w:name="_Toc272639906"/>
      <w:bookmarkStart w:id="48" w:name="_Toc272645029"/>
      <w:r w:rsidR="000D3F26" w:rsidRPr="006916FC">
        <w:rPr>
          <w:sz w:val="34"/>
          <w:szCs w:val="34"/>
        </w:rPr>
        <w:lastRenderedPageBreak/>
        <w:t>Session 5</w:t>
      </w:r>
      <w:bookmarkEnd w:id="47"/>
      <w:bookmarkEnd w:id="48"/>
      <w:r w:rsidR="000D3F26" w:rsidRPr="006916FC">
        <w:rPr>
          <w:sz w:val="34"/>
          <w:szCs w:val="34"/>
        </w:rPr>
        <w:t xml:space="preserve"> </w:t>
      </w:r>
    </w:p>
    <w:p w14:paraId="69C07F64" w14:textId="77777777" w:rsidR="00AC06AD" w:rsidRPr="006916FC" w:rsidRDefault="00AC06AD" w:rsidP="008A7E29">
      <w:pPr>
        <w:pStyle w:val="Heading1"/>
      </w:pPr>
      <w:bookmarkStart w:id="49" w:name="_Toc272639907"/>
      <w:bookmarkStart w:id="50" w:name="_Toc272645030"/>
      <w:r w:rsidRPr="006916FC">
        <w:t>Promoting Good Governance and Civil Society</w:t>
      </w:r>
      <w:bookmarkEnd w:id="49"/>
      <w:bookmarkEnd w:id="50"/>
    </w:p>
    <w:p w14:paraId="39790CE3" w14:textId="77777777" w:rsidR="002B35BA" w:rsidRPr="006916FC" w:rsidRDefault="002B35BA"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18E41292" w14:textId="77777777" w:rsidR="00AC06AD" w:rsidRPr="006916FC" w:rsidRDefault="00AC06AD"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Baroness Vivien Stern - Co-Chair, Know Violence</w:t>
      </w:r>
    </w:p>
    <w:p w14:paraId="73F036EE" w14:textId="77777777" w:rsidR="002B35BA" w:rsidRPr="006916FC" w:rsidRDefault="002B35BA"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00A92C75" w14:textId="77777777" w:rsidR="00AC06AD" w:rsidRPr="008B4D4B" w:rsidRDefault="00AC06AD"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Societies with high levels of individual violence are often characterized by situations with a poor functioning of the state, a lacking civil society, and no effective rule of law. Speakers in this session examine how the functioning of state institutions can be strengthened, what practical steps can be taken to promote the rule of law, and how citizen's active support for violence prevention can be promoted. </w:t>
      </w:r>
    </w:p>
    <w:p w14:paraId="751B2791" w14:textId="77777777" w:rsidR="001A057F" w:rsidRPr="006916FC" w:rsidRDefault="001A057F" w:rsidP="008A7E29">
      <w:pPr>
        <w:pBdr>
          <w:bottom w:val="single" w:sz="6" w:space="1" w:color="auto"/>
        </w:pBdr>
        <w:jc w:val="both"/>
        <w:rPr>
          <w:rFonts w:ascii="Didot" w:hAnsi="Didot" w:cs="Didot"/>
          <w:color w:val="121212"/>
          <w:sz w:val="22"/>
          <w:szCs w:val="22"/>
          <w:lang w:val="en-US"/>
        </w:rPr>
      </w:pPr>
    </w:p>
    <w:p w14:paraId="2DC9E62E" w14:textId="77777777" w:rsidR="001A057F" w:rsidRPr="006916FC" w:rsidRDefault="001A057F" w:rsidP="008A7E29">
      <w:pPr>
        <w:jc w:val="both"/>
        <w:rPr>
          <w:rFonts w:ascii="Didot" w:hAnsi="Didot" w:cs="Didot"/>
          <w:color w:val="121212"/>
          <w:sz w:val="22"/>
          <w:szCs w:val="22"/>
          <w:lang w:val="en-US"/>
        </w:rPr>
      </w:pPr>
    </w:p>
    <w:p w14:paraId="35904582" w14:textId="77777777" w:rsidR="00AC06AD" w:rsidRPr="006916FC" w:rsidRDefault="00AC06AD" w:rsidP="008A7E29">
      <w:pPr>
        <w:jc w:val="both"/>
        <w:rPr>
          <w:rFonts w:ascii="Didot" w:hAnsi="Didot" w:cs="Didot"/>
          <w:color w:val="121212"/>
          <w:lang w:val="en-US"/>
        </w:rPr>
      </w:pPr>
    </w:p>
    <w:p w14:paraId="7AC75B0C" w14:textId="77777777" w:rsidR="00AC06AD" w:rsidRPr="006916FC" w:rsidRDefault="00AC06AD" w:rsidP="008A7E29">
      <w:pPr>
        <w:pStyle w:val="Heading2"/>
        <w:jc w:val="both"/>
        <w:rPr>
          <w:rFonts w:ascii="Didot" w:hAnsi="Didot" w:cs="Didot"/>
          <w:color w:val="auto"/>
          <w:sz w:val="34"/>
          <w:szCs w:val="34"/>
        </w:rPr>
      </w:pPr>
      <w:bookmarkStart w:id="51" w:name="_Toc272639908"/>
      <w:bookmarkStart w:id="52" w:name="_Toc272645031"/>
      <w:r w:rsidRPr="006916FC">
        <w:rPr>
          <w:rFonts w:ascii="Didot" w:hAnsi="Didot" w:cs="Didot"/>
          <w:color w:val="auto"/>
          <w:sz w:val="34"/>
          <w:szCs w:val="34"/>
        </w:rPr>
        <w:t>James Putzel</w:t>
      </w:r>
      <w:bookmarkEnd w:id="51"/>
      <w:bookmarkEnd w:id="52"/>
    </w:p>
    <w:p w14:paraId="4CFCDEDC" w14:textId="77777777" w:rsidR="00362AAD" w:rsidRPr="006916FC" w:rsidRDefault="00362AAD" w:rsidP="008A7E29">
      <w:pPr>
        <w:jc w:val="both"/>
        <w:rPr>
          <w:rFonts w:ascii="Didot" w:hAnsi="Didot" w:cs="Didot"/>
          <w:b/>
          <w:color w:val="121212"/>
          <w:lang w:val="en-US"/>
        </w:rPr>
      </w:pPr>
    </w:p>
    <w:p w14:paraId="1BFE6F5F"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t>Biography</w:t>
      </w:r>
    </w:p>
    <w:p w14:paraId="617839D3" w14:textId="77777777" w:rsidR="002B35BA" w:rsidRPr="006916FC" w:rsidRDefault="002B35BA" w:rsidP="008A7E29">
      <w:pPr>
        <w:jc w:val="both"/>
        <w:rPr>
          <w:rFonts w:ascii="Didot" w:hAnsi="Didot" w:cs="Didot"/>
          <w:b/>
          <w:color w:val="121212"/>
          <w:lang w:val="en-US"/>
        </w:rPr>
      </w:pPr>
    </w:p>
    <w:p w14:paraId="0B035400" w14:textId="77777777" w:rsidR="00AC06AD" w:rsidRPr="008B4D4B" w:rsidRDefault="00AC06AD"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James Putzel (BA, MA McGill, DPhil Oxford) is Professor of Development Studies at the Department of International </w:t>
      </w:r>
      <w:proofErr w:type="gramStart"/>
      <w:r w:rsidRPr="008B4D4B">
        <w:rPr>
          <w:rFonts w:ascii="Didot" w:hAnsi="Didot" w:cs="Didot"/>
          <w:color w:val="121212"/>
          <w:sz w:val="22"/>
          <w:szCs w:val="22"/>
          <w:lang w:val="en-US"/>
        </w:rPr>
        <w:t>Development  at</w:t>
      </w:r>
      <w:proofErr w:type="gramEnd"/>
      <w:r w:rsidRPr="008B4D4B">
        <w:rPr>
          <w:rFonts w:ascii="Didot" w:hAnsi="Didot" w:cs="Didot"/>
          <w:color w:val="121212"/>
          <w:sz w:val="22"/>
          <w:szCs w:val="22"/>
          <w:lang w:val="en-US"/>
        </w:rPr>
        <w:t xml:space="preserve"> the London School of Economics. Between 2000 and 2011 he was Director of the Crisis States Research Centre at the LSE. Professor Putzel is well-known for his work on agrarian reform including his book A Captive Land: The Politics of Agrarian Reform in the Philippines, as well as his research on social capital, democratisation and the political economy of development in Southeast Asia. His recent research has focused on politics, governance and economic development in crisis states including comparative research in Asia and Africa. He has undertaken research in the Philippines, Thailand, Indonesia, Democratic Republic of Congo, Rwanda, Uganda, Tanzania, Malawi and Senegal. He is co-author of Meeting the Challenges of Crisis States (2012) and lead author of the OECD book, Do No Harm: International Support for Statebuilding (2010). Putzel was a founding member of the Fragile States Council of the World Economic Forum and sits on the advisory board of the Journal of Peasant Studies and the editorial board of the Philippine Political Science Journal. He is member of the International Advisory Board of the China International Development Research Network.</w:t>
      </w:r>
    </w:p>
    <w:p w14:paraId="19BA383A" w14:textId="77777777" w:rsidR="001A057F" w:rsidRPr="008B4D4B" w:rsidRDefault="001A057F" w:rsidP="008A7E29">
      <w:pPr>
        <w:pBdr>
          <w:bottom w:val="single" w:sz="6" w:space="1" w:color="auto"/>
        </w:pBdr>
        <w:jc w:val="both"/>
        <w:rPr>
          <w:rFonts w:ascii="Didot" w:hAnsi="Didot" w:cs="Didot"/>
          <w:color w:val="121212"/>
          <w:sz w:val="22"/>
          <w:szCs w:val="22"/>
          <w:lang w:val="en-US"/>
        </w:rPr>
      </w:pPr>
    </w:p>
    <w:p w14:paraId="180BD3B4" w14:textId="77777777" w:rsidR="001A057F" w:rsidRPr="006916FC" w:rsidRDefault="001A057F" w:rsidP="008A7E29">
      <w:pPr>
        <w:jc w:val="both"/>
        <w:rPr>
          <w:rFonts w:ascii="Didot" w:hAnsi="Didot" w:cs="Didot"/>
          <w:color w:val="121212"/>
          <w:sz w:val="22"/>
          <w:szCs w:val="22"/>
          <w:lang w:val="en-US"/>
        </w:rPr>
      </w:pPr>
    </w:p>
    <w:p w14:paraId="18C55092" w14:textId="77777777" w:rsidR="000D6A2E" w:rsidRPr="006916FC" w:rsidRDefault="000D6A2E" w:rsidP="008A7E29">
      <w:pPr>
        <w:jc w:val="both"/>
        <w:rPr>
          <w:rFonts w:ascii="Didot" w:hAnsi="Didot" w:cs="Didot"/>
          <w:b/>
          <w:color w:val="121212"/>
          <w:lang w:val="en-US"/>
        </w:rPr>
      </w:pPr>
      <w:r w:rsidRPr="006916FC">
        <w:rPr>
          <w:rFonts w:ascii="Didot" w:hAnsi="Didot" w:cs="Didot"/>
          <w:b/>
          <w:color w:val="121212"/>
          <w:lang w:val="en-US"/>
        </w:rPr>
        <w:lastRenderedPageBreak/>
        <w:t>Abstract</w:t>
      </w:r>
    </w:p>
    <w:p w14:paraId="5C4F4D1C" w14:textId="77777777" w:rsidR="002B35BA" w:rsidRPr="006916FC" w:rsidRDefault="002B35BA" w:rsidP="008A7E29">
      <w:pPr>
        <w:jc w:val="both"/>
        <w:rPr>
          <w:rFonts w:ascii="Didot" w:hAnsi="Didot" w:cs="Didot"/>
          <w:b/>
          <w:color w:val="121212"/>
          <w:lang w:val="en-US"/>
        </w:rPr>
      </w:pPr>
    </w:p>
    <w:p w14:paraId="64B0C302" w14:textId="77777777" w:rsidR="00AC06AD" w:rsidRPr="006916FC" w:rsidRDefault="00AC06AD"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Why Liberals are Poor Peace-Makers: Discarding Orthodoxies to Reduce Violence in Developing Countries</w:t>
      </w:r>
    </w:p>
    <w:p w14:paraId="275A8FD6" w14:textId="28843530" w:rsidR="00C33C84" w:rsidRPr="008B4D4B" w:rsidRDefault="00C33C84" w:rsidP="008A7E29">
      <w:pPr>
        <w:widowControl w:val="0"/>
        <w:pBdr>
          <w:bottom w:val="single" w:sz="12" w:space="1" w:color="auto"/>
        </w:pBdr>
        <w:autoSpaceDE w:val="0"/>
        <w:autoSpaceDN w:val="0"/>
        <w:adjustRightInd w:val="0"/>
        <w:spacing w:after="200"/>
        <w:jc w:val="both"/>
        <w:rPr>
          <w:rFonts w:ascii="Didot" w:hAnsi="Didot" w:cs="Didot"/>
          <w:color w:val="121212"/>
          <w:sz w:val="22"/>
          <w:szCs w:val="22"/>
          <w:lang w:val="en-US"/>
        </w:rPr>
      </w:pPr>
      <w:r w:rsidRPr="008B4D4B">
        <w:rPr>
          <w:rFonts w:ascii="Didot" w:hAnsi="Didot" w:cs="Didot"/>
          <w:color w:val="121212"/>
          <w:sz w:val="22"/>
          <w:szCs w:val="22"/>
          <w:lang w:val="en-US"/>
        </w:rPr>
        <w:t xml:space="preserve">This paper suggests that the reduction of levels of violent conflict in lower and </w:t>
      </w:r>
      <w:proofErr w:type="gramStart"/>
      <w:r w:rsidRPr="008B4D4B">
        <w:rPr>
          <w:rFonts w:ascii="Didot" w:hAnsi="Didot" w:cs="Didot"/>
          <w:color w:val="121212"/>
          <w:sz w:val="22"/>
          <w:szCs w:val="22"/>
          <w:lang w:val="en-US"/>
        </w:rPr>
        <w:t>middle income</w:t>
      </w:r>
      <w:proofErr w:type="gramEnd"/>
      <w:r w:rsidRPr="008B4D4B">
        <w:rPr>
          <w:rFonts w:ascii="Didot" w:hAnsi="Didot" w:cs="Didot"/>
          <w:color w:val="121212"/>
          <w:sz w:val="22"/>
          <w:szCs w:val="22"/>
          <w:lang w:val="en-US"/>
        </w:rPr>
        <w:t xml:space="preserve"> countries requires a serious rethinking of both the role of the state in consolidating and maintaining peace and the model of a state capable of doing so. The paper draws on research undertaken by the Crisis States Research Centre at the LSE between 2000 and 2012. The first section emphasises that the most important drivers of violence in the developing world today are the asymmetric military interventions unleashed by the world’s great powers to effect regime change. The most intractable cases of persistent violent conflict in the developing world today have been precipitated by external military interventions often in the name of civilian protection and democracy promotion. The following sections argue that the establishment of inclusive political settlements and state organisations based upon them should take precedence over the promotion of formal democratic systems, poverty reduction, efficient service delivery, or prudent macroeconomic management in the wake of violent conflicts. In this sense the paper suggests that organisations like the WHO need to pay much more attention to how their activities in post-war situations affect the consolidation of state organisations, even if this means tolerating greater levels of inefficiency and slower developmental progress.</w:t>
      </w:r>
    </w:p>
    <w:p w14:paraId="2809B8B6" w14:textId="77777777" w:rsidR="00C33C84" w:rsidRPr="006916FC" w:rsidRDefault="00C33C84" w:rsidP="008A7E29">
      <w:pPr>
        <w:widowControl w:val="0"/>
        <w:pBdr>
          <w:bottom w:val="single" w:sz="12" w:space="1" w:color="auto"/>
        </w:pBdr>
        <w:autoSpaceDE w:val="0"/>
        <w:autoSpaceDN w:val="0"/>
        <w:adjustRightInd w:val="0"/>
        <w:spacing w:after="200"/>
        <w:jc w:val="both"/>
        <w:rPr>
          <w:rFonts w:ascii="Didot" w:hAnsi="Didot" w:cs="Didot"/>
          <w:color w:val="121212"/>
          <w:sz w:val="22"/>
          <w:szCs w:val="22"/>
          <w:lang w:val="en-US"/>
        </w:rPr>
      </w:pPr>
    </w:p>
    <w:p w14:paraId="17FFEC7F" w14:textId="0893D3F8" w:rsidR="00C33C84" w:rsidRPr="006916FC" w:rsidRDefault="00C33C84" w:rsidP="008A7E29">
      <w:pPr>
        <w:widowControl w:val="0"/>
        <w:autoSpaceDE w:val="0"/>
        <w:autoSpaceDN w:val="0"/>
        <w:adjustRightInd w:val="0"/>
        <w:spacing w:after="200"/>
        <w:jc w:val="both"/>
        <w:rPr>
          <w:rFonts w:ascii="Didot" w:hAnsi="Didot" w:cs="Didot"/>
          <w:color w:val="121212"/>
          <w:sz w:val="22"/>
          <w:szCs w:val="22"/>
          <w:lang w:val="en-US"/>
        </w:rPr>
      </w:pP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b/>
          <w:color w:val="121212"/>
          <w:lang w:val="en-US"/>
        </w:rPr>
        <w:t>Summary</w:t>
      </w:r>
    </w:p>
    <w:p w14:paraId="6200C3AB" w14:textId="77777777" w:rsidR="00C33C84" w:rsidRPr="008B4D4B" w:rsidRDefault="00C33C84" w:rsidP="008A7E29">
      <w:pPr>
        <w:jc w:val="both"/>
        <w:rPr>
          <w:rFonts w:ascii="Didot" w:hAnsi="Didot" w:cs="Didot"/>
          <w:b/>
          <w:color w:val="121212"/>
          <w:sz w:val="22"/>
          <w:szCs w:val="22"/>
          <w:lang w:val="en-US"/>
        </w:rPr>
      </w:pPr>
      <w:r w:rsidRPr="008B4D4B">
        <w:rPr>
          <w:rFonts w:ascii="Didot" w:hAnsi="Didot" w:cs="Didot"/>
          <w:b/>
          <w:color w:val="121212"/>
          <w:sz w:val="22"/>
          <w:szCs w:val="22"/>
          <w:lang w:val="en-US"/>
        </w:rPr>
        <w:t>Introduction</w:t>
      </w:r>
    </w:p>
    <w:p w14:paraId="525F6BA2" w14:textId="77777777" w:rsidR="00C33C84" w:rsidRPr="008B4D4B" w:rsidRDefault="00C33C84" w:rsidP="008A7E29">
      <w:pPr>
        <w:jc w:val="both"/>
        <w:rPr>
          <w:rFonts w:ascii="Didot" w:hAnsi="Didot" w:cs="Didot"/>
          <w:color w:val="121212"/>
          <w:sz w:val="22"/>
          <w:szCs w:val="22"/>
          <w:lang w:val="en-US"/>
        </w:rPr>
      </w:pPr>
    </w:p>
    <w:p w14:paraId="31B11100"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If the “international community” is serious about reducing levels of violent conflict in lower and middle income countries, this will require a serious rethinking of both the role of the state in consolidating and maintaining peace and the model of a state capable of doing so. This paper draws on research undertaken by the Crisis States Research Centre at the LSE between 2000 and 2012. The first section emphasises that one of the most important drivers of violence in the developing world are the asymmetric military interventions unleashed by the world’s great powers to effect regime change. The following sections suggest that the establishment of inclusive political settlements and state organisations based upon them should take precedence over the promotion of formal democratic systems, poverty reduction, efficient service delivery or prudent macroeconomic management in the wake of violent conflicts. </w:t>
      </w:r>
    </w:p>
    <w:p w14:paraId="70E5FD18" w14:textId="77777777" w:rsidR="00C33C84" w:rsidRPr="008B4D4B" w:rsidRDefault="00C33C84" w:rsidP="008A7E29">
      <w:pPr>
        <w:jc w:val="both"/>
        <w:rPr>
          <w:rFonts w:ascii="Didot" w:hAnsi="Didot" w:cs="Didot"/>
          <w:color w:val="121212"/>
          <w:sz w:val="22"/>
          <w:szCs w:val="22"/>
          <w:lang w:val="en-US"/>
        </w:rPr>
      </w:pPr>
    </w:p>
    <w:p w14:paraId="422B8897" w14:textId="77777777" w:rsidR="00C33C84" w:rsidRPr="008B4D4B" w:rsidRDefault="00C33C84" w:rsidP="008A7E29">
      <w:pPr>
        <w:jc w:val="both"/>
        <w:rPr>
          <w:rFonts w:ascii="Didot" w:hAnsi="Didot" w:cs="Didot"/>
          <w:b/>
          <w:color w:val="121212"/>
          <w:sz w:val="22"/>
          <w:szCs w:val="22"/>
          <w:lang w:val="en-US"/>
        </w:rPr>
      </w:pPr>
      <w:r w:rsidRPr="008B4D4B">
        <w:rPr>
          <w:rFonts w:ascii="Didot" w:hAnsi="Didot" w:cs="Didot"/>
          <w:b/>
          <w:color w:val="121212"/>
          <w:sz w:val="22"/>
          <w:szCs w:val="22"/>
          <w:lang w:val="en-US"/>
        </w:rPr>
        <w:t>External Military Interventions Seldom Lead to Peace</w:t>
      </w:r>
    </w:p>
    <w:p w14:paraId="1B23E0E6" w14:textId="77777777" w:rsidR="00C33C84" w:rsidRPr="008B4D4B" w:rsidRDefault="00C33C84" w:rsidP="008A7E29">
      <w:pPr>
        <w:jc w:val="both"/>
        <w:rPr>
          <w:rFonts w:ascii="Didot" w:hAnsi="Didot" w:cs="Didot"/>
          <w:color w:val="121212"/>
          <w:sz w:val="22"/>
          <w:szCs w:val="22"/>
          <w:lang w:val="en-US"/>
        </w:rPr>
      </w:pPr>
    </w:p>
    <w:p w14:paraId="4A779B70"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Looking at the state of the world in late 2014, among the most intractable and intense sites of violent conflict are those territories where regime change was affected through external military intervention and aid: Afghanistan, Iraq, Libya and Syria and the regions surrounding. Aside from Afghanistan where the USSR was “invited” to intervene by state authorities, these external interventions were </w:t>
      </w:r>
      <w:r w:rsidRPr="008B4D4B">
        <w:rPr>
          <w:rFonts w:ascii="Didot" w:hAnsi="Didot" w:cs="Didot"/>
          <w:color w:val="121212"/>
          <w:sz w:val="22"/>
          <w:szCs w:val="22"/>
          <w:lang w:val="en-US"/>
        </w:rPr>
        <w:lastRenderedPageBreak/>
        <w:t xml:space="preserve">justified in the name of ending state oppression and promoting security. There are clear reasons why external military intervention is unlikely to lead to stable or peaceful outcomes. The most important is that the ability to consolidate and maintain a state capable of managing conflict peacefully is born in the struggles and efforts of social forces to organise themselves for regime change. This requires building organisations and alliances with the capacity, discipline and legitimacy to mobilise people and raise material resources to confront a sitting regime. It almost always requires difficult processes of bargaining among non-state elites who control economic resources and the loyalty of local populations to rally to a common strategy for regime change, or, alternatively, unseating such elites as a condition to acquire the resources and popular support capable of establishing an alternative state. When external military force and assistance is required to unseat an existing state regime, the </w:t>
      </w:r>
      <w:proofErr w:type="gramStart"/>
      <w:r w:rsidRPr="008B4D4B">
        <w:rPr>
          <w:rFonts w:ascii="Didot" w:hAnsi="Didot" w:cs="Didot"/>
          <w:color w:val="121212"/>
          <w:sz w:val="22"/>
          <w:szCs w:val="22"/>
          <w:lang w:val="en-US"/>
        </w:rPr>
        <w:t>short-cut</w:t>
      </w:r>
      <w:proofErr w:type="gramEnd"/>
      <w:r w:rsidRPr="008B4D4B">
        <w:rPr>
          <w:rFonts w:ascii="Didot" w:hAnsi="Didot" w:cs="Didot"/>
          <w:color w:val="121212"/>
          <w:sz w:val="22"/>
          <w:szCs w:val="22"/>
          <w:lang w:val="en-US"/>
        </w:rPr>
        <w:t xml:space="preserve"> to regime change usually produces lasting insecurity.</w:t>
      </w:r>
      <w:r w:rsidRPr="008B4D4B">
        <w:rPr>
          <w:rFonts w:ascii="Didot" w:hAnsi="Didot" w:cs="Didot"/>
          <w:color w:val="121212"/>
          <w:sz w:val="22"/>
          <w:szCs w:val="22"/>
          <w:vertAlign w:val="superscript"/>
          <w:lang w:val="en-US"/>
        </w:rPr>
        <w:footnoteReference w:id="2"/>
      </w:r>
    </w:p>
    <w:p w14:paraId="69930741" w14:textId="77777777" w:rsidR="00C33C84" w:rsidRPr="008B4D4B" w:rsidRDefault="00C33C84" w:rsidP="008A7E29">
      <w:pPr>
        <w:jc w:val="both"/>
        <w:rPr>
          <w:rFonts w:ascii="Didot" w:hAnsi="Didot" w:cs="Didot"/>
          <w:color w:val="121212"/>
          <w:sz w:val="22"/>
          <w:szCs w:val="22"/>
          <w:lang w:val="en-US"/>
        </w:rPr>
      </w:pPr>
    </w:p>
    <w:p w14:paraId="488A3436"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In Iraq and Libya, the level of insecurity faced by the majority of the population in the wake of external military intervention is far worse than it was in the decades preceding external military intervention.</w:t>
      </w:r>
      <w:r w:rsidRPr="008B4D4B">
        <w:rPr>
          <w:rFonts w:ascii="Didot" w:hAnsi="Didot" w:cs="Didot"/>
          <w:color w:val="121212"/>
          <w:sz w:val="22"/>
          <w:szCs w:val="22"/>
          <w:vertAlign w:val="superscript"/>
          <w:lang w:val="en-US"/>
        </w:rPr>
        <w:footnoteReference w:id="3"/>
      </w:r>
      <w:r w:rsidRPr="008B4D4B">
        <w:rPr>
          <w:rFonts w:ascii="Didot" w:hAnsi="Didot" w:cs="Didot"/>
          <w:color w:val="121212"/>
          <w:sz w:val="22"/>
          <w:szCs w:val="22"/>
          <w:lang w:val="en-US"/>
        </w:rPr>
        <w:t xml:space="preserve"> Developmentally, both societies have suffered severe setbacks and the prospects for evolving a more democratic political system are arguably much more distant than before external military intervention.</w:t>
      </w:r>
      <w:r w:rsidRPr="008B4D4B">
        <w:rPr>
          <w:rFonts w:ascii="Didot" w:hAnsi="Didot" w:cs="Didot"/>
          <w:color w:val="121212"/>
          <w:sz w:val="22"/>
          <w:szCs w:val="22"/>
          <w:vertAlign w:val="superscript"/>
          <w:lang w:val="en-US"/>
        </w:rPr>
        <w:t xml:space="preserve"> </w:t>
      </w:r>
      <w:r w:rsidRPr="008B4D4B">
        <w:rPr>
          <w:rFonts w:ascii="Didot" w:hAnsi="Didot" w:cs="Didot"/>
          <w:color w:val="121212"/>
          <w:sz w:val="22"/>
          <w:szCs w:val="22"/>
          <w:vertAlign w:val="superscript"/>
          <w:lang w:val="en-US"/>
        </w:rPr>
        <w:footnoteReference w:id="4"/>
      </w:r>
      <w:r w:rsidRPr="008B4D4B">
        <w:rPr>
          <w:rFonts w:ascii="Didot" w:hAnsi="Didot" w:cs="Didot"/>
          <w:color w:val="121212"/>
          <w:sz w:val="22"/>
          <w:szCs w:val="22"/>
          <w:lang w:val="en-US"/>
        </w:rPr>
        <w:t xml:space="preserve">  This is not just a question of hindsight, since there was ample evidence that such interventions would unleash extreme violence.</w:t>
      </w:r>
      <w:r w:rsidRPr="008B4D4B">
        <w:rPr>
          <w:rFonts w:ascii="Didot" w:hAnsi="Didot" w:cs="Didot"/>
          <w:color w:val="121212"/>
          <w:sz w:val="22"/>
          <w:szCs w:val="22"/>
          <w:vertAlign w:val="superscript"/>
          <w:lang w:val="en-US"/>
        </w:rPr>
        <w:t xml:space="preserve"> </w:t>
      </w:r>
      <w:r w:rsidRPr="008B4D4B">
        <w:rPr>
          <w:rFonts w:ascii="Didot" w:hAnsi="Didot" w:cs="Didot"/>
          <w:color w:val="121212"/>
          <w:sz w:val="22"/>
          <w:szCs w:val="22"/>
          <w:vertAlign w:val="superscript"/>
          <w:lang w:val="en-US"/>
        </w:rPr>
        <w:footnoteReference w:id="5"/>
      </w:r>
      <w:r w:rsidRPr="008B4D4B">
        <w:rPr>
          <w:rFonts w:ascii="Didot" w:hAnsi="Didot" w:cs="Didot"/>
          <w:color w:val="121212"/>
          <w:sz w:val="22"/>
          <w:szCs w:val="22"/>
          <w:lang w:val="en-US"/>
        </w:rPr>
        <w:t xml:space="preserve"> In Libya, Gaddafi himself warned that the destruction of his regime would see the rise of internecine violence by armed groups and have repercussions throughout the region.</w:t>
      </w:r>
      <w:r w:rsidRPr="008B4D4B">
        <w:rPr>
          <w:rFonts w:ascii="Didot" w:hAnsi="Didot" w:cs="Didot"/>
          <w:color w:val="121212"/>
          <w:sz w:val="22"/>
          <w:szCs w:val="22"/>
          <w:vertAlign w:val="superscript"/>
          <w:lang w:val="en-US"/>
        </w:rPr>
        <w:footnoteReference w:id="6"/>
      </w:r>
      <w:r w:rsidRPr="008B4D4B">
        <w:rPr>
          <w:rFonts w:ascii="Didot" w:hAnsi="Didot" w:cs="Didot"/>
          <w:color w:val="121212"/>
          <w:sz w:val="22"/>
          <w:szCs w:val="22"/>
          <w:lang w:val="en-US"/>
        </w:rPr>
        <w:t xml:space="preserve"> The regimes in both countries emerged and were consolidated over time on the basis of elite bargains and managed conflict within their territories, often through repressive means, in ways that allowed general peace for decades. There were reformist forces emerging in both countries, but they were very far from coherent organisations with alternative plans for the state, let alone the ability, or necessarily even the inclination, to establish Western forms of democratic government.</w:t>
      </w:r>
      <w:r w:rsidRPr="008B4D4B">
        <w:rPr>
          <w:rFonts w:ascii="Didot" w:hAnsi="Didot" w:cs="Didot"/>
          <w:color w:val="121212"/>
          <w:sz w:val="22"/>
          <w:szCs w:val="22"/>
          <w:vertAlign w:val="superscript"/>
          <w:lang w:val="en-US"/>
        </w:rPr>
        <w:footnoteReference w:id="7"/>
      </w:r>
      <w:r w:rsidRPr="008B4D4B">
        <w:rPr>
          <w:rFonts w:ascii="Didot" w:hAnsi="Didot" w:cs="Didot"/>
          <w:color w:val="121212"/>
          <w:sz w:val="22"/>
          <w:szCs w:val="22"/>
          <w:lang w:val="en-US"/>
        </w:rPr>
        <w:t xml:space="preserve"> The most likely </w:t>
      </w:r>
      <w:r w:rsidRPr="008B4D4B">
        <w:rPr>
          <w:rFonts w:ascii="Didot" w:hAnsi="Didot" w:cs="Didot"/>
          <w:color w:val="121212"/>
          <w:sz w:val="22"/>
          <w:szCs w:val="22"/>
          <w:lang w:val="en-US"/>
        </w:rPr>
        <w:lastRenderedPageBreak/>
        <w:t xml:space="preserve">source of change was emerging from within the regimes themselves, but of course change would have been a slow process. However, tearing down the organisations of the state through external military intervention has subjected the population as a whole in these countries to higher levels of continuing violence and insecurity than experienced before intervention. </w:t>
      </w:r>
    </w:p>
    <w:p w14:paraId="7901CF29" w14:textId="77777777" w:rsidR="00C33C84" w:rsidRPr="008B4D4B" w:rsidRDefault="00C33C84" w:rsidP="008A7E29">
      <w:pPr>
        <w:jc w:val="both"/>
        <w:rPr>
          <w:rFonts w:ascii="Didot" w:hAnsi="Didot" w:cs="Didot"/>
          <w:color w:val="121212"/>
          <w:sz w:val="22"/>
          <w:szCs w:val="22"/>
          <w:lang w:val="en-US"/>
        </w:rPr>
      </w:pPr>
    </w:p>
    <w:p w14:paraId="5575460A"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Today, Syria is in much the same position. The Arab Spring encouraged popular protests against the Assad regime, but the resources of support – the political settlement - behind the regime meant that the protesters were in no position to mount a challenge to take state power. In fact, it is highly likely that it was the precipitous declaration of support for the opposition as an </w:t>
      </w:r>
      <w:r w:rsidRPr="008B4D4B">
        <w:rPr>
          <w:rFonts w:ascii="Didot" w:hAnsi="Didot" w:cs="Didot"/>
          <w:i/>
          <w:color w:val="121212"/>
          <w:sz w:val="22"/>
          <w:szCs w:val="22"/>
          <w:lang w:val="en-US"/>
        </w:rPr>
        <w:t>alternative</w:t>
      </w:r>
      <w:r w:rsidRPr="008B4D4B">
        <w:rPr>
          <w:rFonts w:ascii="Didot" w:hAnsi="Didot" w:cs="Didot"/>
          <w:color w:val="121212"/>
          <w:sz w:val="22"/>
          <w:szCs w:val="22"/>
          <w:lang w:val="en-US"/>
        </w:rPr>
        <w:t xml:space="preserve"> to the regime, made by the UK and other Western governments, which gave the green light to Qatar and other states in the region to arm the opposition, thus transforming domestic protests into a full-blown civil war.</w:t>
      </w:r>
      <w:r w:rsidRPr="008B4D4B">
        <w:rPr>
          <w:rFonts w:ascii="Didot" w:hAnsi="Didot" w:cs="Didot"/>
          <w:color w:val="121212"/>
          <w:sz w:val="22"/>
          <w:szCs w:val="22"/>
          <w:vertAlign w:val="superscript"/>
          <w:lang w:val="en-US"/>
        </w:rPr>
        <w:footnoteReference w:id="8"/>
      </w:r>
      <w:r w:rsidRPr="008B4D4B">
        <w:rPr>
          <w:rFonts w:ascii="Didot" w:hAnsi="Didot" w:cs="Didot"/>
          <w:color w:val="121212"/>
          <w:sz w:val="22"/>
          <w:szCs w:val="22"/>
          <w:lang w:val="en-US"/>
        </w:rPr>
        <w:t xml:space="preserve"> The advance of the Islamic State in Iraq and Syria (ISIS), as the most organised alternative force in both countries, is a direct consequence of these external interventions.</w:t>
      </w:r>
      <w:r w:rsidRPr="008B4D4B">
        <w:rPr>
          <w:rFonts w:ascii="Didot" w:hAnsi="Didot" w:cs="Didot"/>
          <w:color w:val="121212"/>
          <w:sz w:val="22"/>
          <w:szCs w:val="22"/>
          <w:vertAlign w:val="superscript"/>
          <w:lang w:val="en-US"/>
        </w:rPr>
        <w:footnoteReference w:id="9"/>
      </w:r>
      <w:r w:rsidRPr="008B4D4B">
        <w:rPr>
          <w:rFonts w:ascii="Didot" w:hAnsi="Didot" w:cs="Didot"/>
          <w:color w:val="121212"/>
          <w:sz w:val="22"/>
          <w:szCs w:val="22"/>
          <w:lang w:val="en-US"/>
        </w:rPr>
        <w:t xml:space="preserve"> </w:t>
      </w:r>
    </w:p>
    <w:p w14:paraId="0F0CC813" w14:textId="77777777" w:rsidR="00C33C84" w:rsidRPr="008B4D4B" w:rsidRDefault="00C33C84" w:rsidP="008A7E29">
      <w:pPr>
        <w:jc w:val="both"/>
        <w:rPr>
          <w:rFonts w:ascii="Didot" w:hAnsi="Didot" w:cs="Didot"/>
          <w:color w:val="121212"/>
          <w:sz w:val="22"/>
          <w:szCs w:val="22"/>
          <w:lang w:val="en-US"/>
        </w:rPr>
      </w:pPr>
    </w:p>
    <w:p w14:paraId="78643D97"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Even in Afghanistan, where the spiral of violent conflict experienced in the country today has deep historical roots, which were aggravated by Soviet military intervention in December 1979 to shore up a regime it had helped to take power, Western military intervention can be held responsible for the current level of violence. The origins of the Taliban can be traced to the support that the </w:t>
      </w:r>
      <w:proofErr w:type="gramStart"/>
      <w:r w:rsidRPr="008B4D4B">
        <w:rPr>
          <w:rFonts w:ascii="Didot" w:hAnsi="Didot" w:cs="Didot"/>
          <w:color w:val="121212"/>
          <w:sz w:val="22"/>
          <w:szCs w:val="22"/>
          <w:lang w:val="en-US"/>
        </w:rPr>
        <w:t>US and Western allies</w:t>
      </w:r>
      <w:proofErr w:type="gramEnd"/>
      <w:r w:rsidRPr="008B4D4B">
        <w:rPr>
          <w:rFonts w:ascii="Didot" w:hAnsi="Didot" w:cs="Didot"/>
          <w:color w:val="121212"/>
          <w:sz w:val="22"/>
          <w:szCs w:val="22"/>
          <w:lang w:val="en-US"/>
        </w:rPr>
        <w:t xml:space="preserve"> gave to jihadists in the fight against the USSR. Afghanistan’s most propitious chance for state consolidation was under the nationalist regime of Najibullah, but the US and its allies continued to support the jihadists with fateful consequences in the subsequent rise of the Taliban to a position where it could control the state.</w:t>
      </w:r>
      <w:r w:rsidRPr="008B4D4B">
        <w:rPr>
          <w:rFonts w:ascii="Didot" w:hAnsi="Didot" w:cs="Didot"/>
          <w:color w:val="121212"/>
          <w:sz w:val="22"/>
          <w:szCs w:val="22"/>
          <w:vertAlign w:val="superscript"/>
          <w:lang w:val="en-US"/>
        </w:rPr>
        <w:footnoteReference w:id="10"/>
      </w:r>
      <w:r w:rsidRPr="008B4D4B">
        <w:rPr>
          <w:rFonts w:ascii="Didot" w:hAnsi="Didot" w:cs="Didot"/>
          <w:color w:val="121212"/>
          <w:sz w:val="22"/>
          <w:szCs w:val="22"/>
          <w:lang w:val="en-US"/>
        </w:rPr>
        <w:t xml:space="preserve"> The strategy pursued by the west to exclude the Taliban from a post-invasion regime has proven </w:t>
      </w:r>
      <w:proofErr w:type="gramStart"/>
      <w:r w:rsidRPr="008B4D4B">
        <w:rPr>
          <w:rFonts w:ascii="Didot" w:hAnsi="Didot" w:cs="Didot"/>
          <w:color w:val="121212"/>
          <w:sz w:val="22"/>
          <w:szCs w:val="22"/>
          <w:lang w:val="en-US"/>
        </w:rPr>
        <w:t>ill-fated</w:t>
      </w:r>
      <w:proofErr w:type="gramEnd"/>
      <w:r w:rsidRPr="008B4D4B">
        <w:rPr>
          <w:rFonts w:ascii="Didot" w:hAnsi="Didot" w:cs="Didot"/>
          <w:color w:val="121212"/>
          <w:sz w:val="22"/>
          <w:szCs w:val="22"/>
          <w:lang w:val="en-US"/>
        </w:rPr>
        <w:t>. No future peace is possible without a negotiated settlement of some sort with the Talliban, making the decade and a half of futile attempts by the West to build a liberal democratic regime in the country a costly error in terms of both resources spent and lives, particularly Afghan lives, lost.</w:t>
      </w:r>
    </w:p>
    <w:p w14:paraId="389BCF01"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ab/>
      </w:r>
    </w:p>
    <w:p w14:paraId="4C612AA9" w14:textId="77777777" w:rsidR="00C33C84" w:rsidRPr="008B4D4B" w:rsidRDefault="00C33C84" w:rsidP="008A7E29">
      <w:pPr>
        <w:jc w:val="both"/>
        <w:rPr>
          <w:rFonts w:ascii="Didot" w:hAnsi="Didot" w:cs="Didot"/>
          <w:b/>
          <w:color w:val="121212"/>
          <w:sz w:val="22"/>
          <w:szCs w:val="22"/>
          <w:lang w:val="en-US"/>
        </w:rPr>
      </w:pPr>
      <w:r w:rsidRPr="008B4D4B">
        <w:rPr>
          <w:rFonts w:ascii="Didot" w:hAnsi="Didot" w:cs="Didot"/>
          <w:b/>
          <w:color w:val="121212"/>
          <w:sz w:val="22"/>
          <w:szCs w:val="22"/>
          <w:lang w:val="en-US"/>
        </w:rPr>
        <w:t>Understanding the Politics of Peace: the importance of elite bargains and inclusive political settlements</w:t>
      </w:r>
    </w:p>
    <w:p w14:paraId="46AE724E" w14:textId="77777777" w:rsidR="00C33C84" w:rsidRPr="008B4D4B" w:rsidRDefault="00C33C84" w:rsidP="008A7E29">
      <w:pPr>
        <w:jc w:val="both"/>
        <w:rPr>
          <w:rFonts w:ascii="Didot" w:hAnsi="Didot" w:cs="Didot"/>
          <w:color w:val="121212"/>
          <w:sz w:val="22"/>
          <w:szCs w:val="22"/>
          <w:lang w:val="en-US"/>
        </w:rPr>
      </w:pPr>
    </w:p>
    <w:p w14:paraId="2D63FD2B"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A deeper understanding of what drives a society into large-scaled episodes of violent conflict is necessary to understanding the politics of peace. Western donors have persisted in defining state fragility, or states that are vulnerable to large-scale violence, in terms of persistent poverty, corruption and the absence of democracy.</w:t>
      </w:r>
      <w:r w:rsidRPr="008B4D4B">
        <w:rPr>
          <w:rFonts w:ascii="Didot" w:hAnsi="Didot" w:cs="Didot"/>
          <w:color w:val="121212"/>
          <w:sz w:val="22"/>
          <w:szCs w:val="22"/>
          <w:vertAlign w:val="superscript"/>
          <w:lang w:val="en-US"/>
        </w:rPr>
        <w:footnoteReference w:id="11"/>
      </w:r>
      <w:r w:rsidRPr="008B4D4B">
        <w:rPr>
          <w:rFonts w:ascii="Didot" w:hAnsi="Didot" w:cs="Didot"/>
          <w:color w:val="121212"/>
          <w:sz w:val="22"/>
          <w:szCs w:val="22"/>
          <w:lang w:val="en-US"/>
        </w:rPr>
        <w:t xml:space="preserve"> </w:t>
      </w:r>
      <w:r w:rsidRPr="008B4D4B">
        <w:rPr>
          <w:rFonts w:ascii="Didot" w:hAnsi="Didot" w:cs="Didot"/>
          <w:color w:val="121212"/>
          <w:sz w:val="22"/>
          <w:szCs w:val="22"/>
          <w:lang w:val="en-US"/>
        </w:rPr>
        <w:lastRenderedPageBreak/>
        <w:t xml:space="preserve">However, over half the countries in Sub-Saharan Africa have avoided large-scale civil war despite being ridden by poverty and inequality, not to mention governed by less than democratic regimes and surrounded in many cases by violent conflict. We have suggested that state fragility, or vulnerability to large-scale violence, is best indicated by four factors: the absence of legitimate state control over security, the absence of a fiscal system that ensures state control of taxation and spending that is inclusive across identity groups, the failure of state organisations to ensure a presence throughout significant parts of its territory and the failure to establish a hegemonic position for state institutions, or rules, within a country. </w:t>
      </w:r>
    </w:p>
    <w:p w14:paraId="6FF4247F" w14:textId="77777777" w:rsidR="00C33C84" w:rsidRPr="008B4D4B" w:rsidRDefault="00C33C84" w:rsidP="008A7E29">
      <w:pPr>
        <w:jc w:val="both"/>
        <w:rPr>
          <w:rFonts w:ascii="Didot" w:hAnsi="Didot" w:cs="Didot"/>
          <w:color w:val="121212"/>
          <w:sz w:val="22"/>
          <w:szCs w:val="22"/>
          <w:lang w:val="en-US"/>
        </w:rPr>
      </w:pPr>
    </w:p>
    <w:p w14:paraId="04292017"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Looked at in this way, what becomes important to reducing violence over time is not necessarily the elimination of poverty, but rather the need to ensure that poverty, and of course developmental progress, is shared across identity groups, be these defined by region, ethnicity or religion.</w:t>
      </w:r>
      <w:r w:rsidRPr="008B4D4B">
        <w:rPr>
          <w:rFonts w:ascii="Didot" w:hAnsi="Didot" w:cs="Didot"/>
          <w:color w:val="121212"/>
          <w:sz w:val="22"/>
          <w:szCs w:val="22"/>
          <w:vertAlign w:val="superscript"/>
          <w:lang w:val="en-US"/>
        </w:rPr>
        <w:footnoteReference w:id="12"/>
      </w:r>
      <w:r w:rsidRPr="008B4D4B">
        <w:rPr>
          <w:rFonts w:ascii="Didot" w:hAnsi="Didot" w:cs="Didot"/>
          <w:color w:val="121212"/>
          <w:sz w:val="22"/>
          <w:szCs w:val="22"/>
          <w:lang w:val="en-US"/>
        </w:rPr>
        <w:t xml:space="preserve"> The political settlement on which the state is based needs to establish state rules that take precedence over the rules of tribes, clans, language groups or religious organisations, which are recognised and relied upon throughout the state’s territory. It needs to establish security forces that are strong enough to withstand challenges from non-state armed groups, but do not exercise repressive power against the population to maintain the regime’s power. It needs to ensure a presence of the state in significant areas of the country (that is, areas of major settlement or where resources are generated) and it needs to eliminate rival sources of taxation and ensure that state spending does not reinforce inequalities based on identity. </w:t>
      </w:r>
    </w:p>
    <w:p w14:paraId="38C0C0E3" w14:textId="77777777" w:rsidR="00C33C84" w:rsidRPr="008B4D4B" w:rsidRDefault="00C33C84" w:rsidP="008A7E29">
      <w:pPr>
        <w:jc w:val="both"/>
        <w:rPr>
          <w:rFonts w:ascii="Didot" w:hAnsi="Didot" w:cs="Didot"/>
          <w:color w:val="121212"/>
          <w:sz w:val="22"/>
          <w:szCs w:val="22"/>
          <w:lang w:val="en-US"/>
        </w:rPr>
      </w:pPr>
    </w:p>
    <w:p w14:paraId="55B49696"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What becomes crucial to reducing violence is less an issue of establishing formal democracy than one of ensuring the political settlement is based on elite bargains that are inclusive of all the state’s communities. In such a system conflict is usually defined in “divisible terms”, as Albert Hirschman famously noted, where conflicting interests can arrive at negotiated solutions, rather than in “indivisible terms”, or zero-sum equations, where winners take all.</w:t>
      </w:r>
      <w:r w:rsidRPr="008B4D4B">
        <w:rPr>
          <w:rFonts w:ascii="Didot" w:hAnsi="Didot" w:cs="Didot"/>
          <w:color w:val="121212"/>
          <w:sz w:val="22"/>
          <w:szCs w:val="22"/>
          <w:vertAlign w:val="superscript"/>
          <w:lang w:val="en-US"/>
        </w:rPr>
        <w:footnoteReference w:id="13"/>
      </w:r>
      <w:r w:rsidRPr="008B4D4B">
        <w:rPr>
          <w:rFonts w:ascii="Didot" w:hAnsi="Didot" w:cs="Didot"/>
          <w:color w:val="121212"/>
          <w:sz w:val="22"/>
          <w:szCs w:val="22"/>
          <w:lang w:val="en-US"/>
        </w:rPr>
        <w:t xml:space="preserve">  Malaysia is a highly unequal society, but its state is based on a set of elite bargains that has ensured the inclusion of all ethnic groups. While class conflicts persist, they are seldom expressed through the resort to violence (unless politicians turn to the mobilisation of their supporters on the grounds of ethnicity or religion). Because the political settlements established in Tanzania and Zambia after independence incorporated the elites of all communities, these states were able to maintain relatively peaceful conflict over resources and the distribution of wealth for decades.</w:t>
      </w:r>
    </w:p>
    <w:p w14:paraId="0C01D555" w14:textId="77777777" w:rsidR="00C33C84" w:rsidRPr="008B4D4B" w:rsidRDefault="00C33C84" w:rsidP="008A7E29">
      <w:pPr>
        <w:jc w:val="both"/>
        <w:rPr>
          <w:rFonts w:ascii="Didot" w:hAnsi="Didot" w:cs="Didot"/>
          <w:color w:val="121212"/>
          <w:sz w:val="22"/>
          <w:szCs w:val="22"/>
          <w:lang w:val="en-US"/>
        </w:rPr>
      </w:pPr>
    </w:p>
    <w:p w14:paraId="3D61D361"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We know that the rush towards establishing formal democracy after war can often provoke extreme violence.</w:t>
      </w:r>
      <w:r w:rsidRPr="008B4D4B">
        <w:rPr>
          <w:rFonts w:ascii="Didot" w:hAnsi="Didot" w:cs="Didot"/>
          <w:color w:val="121212"/>
          <w:sz w:val="22"/>
          <w:szCs w:val="22"/>
          <w:vertAlign w:val="superscript"/>
          <w:lang w:val="en-US"/>
        </w:rPr>
        <w:footnoteReference w:id="14"/>
      </w:r>
      <w:r w:rsidRPr="008B4D4B">
        <w:rPr>
          <w:rFonts w:ascii="Didot" w:hAnsi="Didot" w:cs="Didot"/>
          <w:color w:val="121212"/>
          <w:sz w:val="22"/>
          <w:szCs w:val="22"/>
          <w:lang w:val="en-US"/>
        </w:rPr>
        <w:t xml:space="preserve"> This is so because non-state elites often mobilise support on the grounds of identity politics and anchor their actions and claims to legitimacy in non-state rules derived from traditional authority, ethnic origins or particular religions. They often control non-state armed organisations, which the </w:t>
      </w:r>
      <w:r w:rsidRPr="008B4D4B">
        <w:rPr>
          <w:rFonts w:ascii="Didot" w:hAnsi="Didot" w:cs="Didot"/>
          <w:color w:val="121212"/>
          <w:sz w:val="22"/>
          <w:szCs w:val="22"/>
          <w:lang w:val="en-US"/>
        </w:rPr>
        <w:lastRenderedPageBreak/>
        <w:t>central state is unable to disarm or defeat. In a country like the Democratic Republic of Congo, elections were never going to ensure peace in the east</w:t>
      </w:r>
      <w:proofErr w:type="gramStart"/>
      <w:r w:rsidRPr="008B4D4B">
        <w:rPr>
          <w:rFonts w:ascii="Didot" w:hAnsi="Didot" w:cs="Didot"/>
          <w:color w:val="121212"/>
          <w:sz w:val="22"/>
          <w:szCs w:val="22"/>
          <w:lang w:val="en-US"/>
        </w:rPr>
        <w:t>,  because</w:t>
      </w:r>
      <w:proofErr w:type="gramEnd"/>
      <w:r w:rsidRPr="008B4D4B">
        <w:rPr>
          <w:rFonts w:ascii="Didot" w:hAnsi="Didot" w:cs="Didot"/>
          <w:color w:val="121212"/>
          <w:sz w:val="22"/>
          <w:szCs w:val="22"/>
          <w:lang w:val="en-US"/>
        </w:rPr>
        <w:t xml:space="preserve"> major elites (often with their own armed groups) did not agree on who was a legitimate citizen of the state, and minority groups could never win a majority in the region. Here conflict has been defined in “indivisible terms”. Much more important than elections, would be the establishment of a political settlement that was inclusive of all the major elites, through forms of “power sharing”, or other, less than democratic arrangements. </w:t>
      </w:r>
    </w:p>
    <w:p w14:paraId="6CF6FE3C" w14:textId="77777777" w:rsidR="00C33C84" w:rsidRPr="008B4D4B" w:rsidRDefault="00C33C84" w:rsidP="008A7E29">
      <w:pPr>
        <w:jc w:val="both"/>
        <w:rPr>
          <w:rFonts w:ascii="Didot" w:hAnsi="Didot" w:cs="Didot"/>
          <w:color w:val="121212"/>
          <w:sz w:val="22"/>
          <w:szCs w:val="22"/>
          <w:lang w:val="en-US"/>
        </w:rPr>
      </w:pPr>
    </w:p>
    <w:p w14:paraId="5A84475F"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In most countries emerging out of intense violent conflict, violence is more likely to be reduced by ensuring such inclusive political settlements than formally establishing democratic rules. Poverty is unlikely to be reduced, let alone eliminated, for decades, but steps can be taken to ensure that it is distributed equitably. Ending repression of particular identity groups in society by state security forces remains much more important than guaranteeing equal rights, not least because a fully rights-based regime takes time to establish and is only possible in conditions where people can peacefully organise and fight for their rights. Full-blown democracy in a country like Rwanda, for instance, so soon after </w:t>
      </w:r>
      <w:proofErr w:type="gramStart"/>
      <w:r w:rsidRPr="008B4D4B">
        <w:rPr>
          <w:rFonts w:ascii="Didot" w:hAnsi="Didot" w:cs="Didot"/>
          <w:color w:val="121212"/>
          <w:sz w:val="22"/>
          <w:szCs w:val="22"/>
          <w:lang w:val="en-US"/>
        </w:rPr>
        <w:t>the  genocide</w:t>
      </w:r>
      <w:proofErr w:type="gramEnd"/>
      <w:r w:rsidRPr="008B4D4B">
        <w:rPr>
          <w:rFonts w:ascii="Didot" w:hAnsi="Didot" w:cs="Didot"/>
          <w:color w:val="121212"/>
          <w:sz w:val="22"/>
          <w:szCs w:val="22"/>
          <w:lang w:val="en-US"/>
        </w:rPr>
        <w:t xml:space="preserve"> committed by the majority ethnic group against the minority, would open the door to the sort of hate driven politics that led to genocide. </w:t>
      </w:r>
    </w:p>
    <w:p w14:paraId="1FB2DFDB" w14:textId="77777777" w:rsidR="00C33C84" w:rsidRPr="008B4D4B" w:rsidRDefault="00C33C84" w:rsidP="008A7E29">
      <w:pPr>
        <w:jc w:val="both"/>
        <w:rPr>
          <w:rFonts w:ascii="Didot" w:hAnsi="Didot" w:cs="Didot"/>
          <w:color w:val="121212"/>
          <w:sz w:val="22"/>
          <w:szCs w:val="22"/>
          <w:lang w:val="en-US"/>
        </w:rPr>
      </w:pPr>
    </w:p>
    <w:p w14:paraId="2C428DF5" w14:textId="77777777" w:rsidR="00C33C84" w:rsidRPr="008B4D4B" w:rsidRDefault="00C33C84" w:rsidP="008A7E29">
      <w:pPr>
        <w:jc w:val="both"/>
        <w:rPr>
          <w:rFonts w:ascii="Didot" w:hAnsi="Didot" w:cs="Didot"/>
          <w:b/>
          <w:color w:val="121212"/>
          <w:sz w:val="22"/>
          <w:szCs w:val="22"/>
          <w:lang w:val="en-US"/>
        </w:rPr>
      </w:pPr>
      <w:r w:rsidRPr="008B4D4B">
        <w:rPr>
          <w:rFonts w:ascii="Didot" w:hAnsi="Didot" w:cs="Didot"/>
          <w:b/>
          <w:color w:val="121212"/>
          <w:sz w:val="22"/>
          <w:szCs w:val="22"/>
          <w:lang w:val="en-US"/>
        </w:rPr>
        <w:t>The Centrality of the State and Tolerance of Illiberal Economics</w:t>
      </w:r>
    </w:p>
    <w:p w14:paraId="104CA8BA" w14:textId="77777777" w:rsidR="00C33C84" w:rsidRPr="008B4D4B" w:rsidRDefault="00C33C84" w:rsidP="008A7E29">
      <w:pPr>
        <w:jc w:val="both"/>
        <w:rPr>
          <w:rFonts w:ascii="Didot" w:hAnsi="Didot" w:cs="Didot"/>
          <w:color w:val="121212"/>
          <w:sz w:val="22"/>
          <w:szCs w:val="22"/>
          <w:lang w:val="en-US"/>
        </w:rPr>
      </w:pPr>
    </w:p>
    <w:p w14:paraId="67F1AE4D"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The importance of consolidating the state as a means to reduce violence after war cannot be overestimated. Very often foreign donors, in their rush to ensure that resources are spent on health care or education at the community level, bypass embryonic, poorly functioning or </w:t>
      </w:r>
      <w:proofErr w:type="gramStart"/>
      <w:r w:rsidRPr="008B4D4B">
        <w:rPr>
          <w:rFonts w:ascii="Didot" w:hAnsi="Didot" w:cs="Didot"/>
          <w:color w:val="121212"/>
          <w:sz w:val="22"/>
          <w:szCs w:val="22"/>
          <w:lang w:val="en-US"/>
        </w:rPr>
        <w:t>graft ridden</w:t>
      </w:r>
      <w:proofErr w:type="gramEnd"/>
      <w:r w:rsidRPr="008B4D4B">
        <w:rPr>
          <w:rFonts w:ascii="Didot" w:hAnsi="Didot" w:cs="Didot"/>
          <w:color w:val="121212"/>
          <w:sz w:val="22"/>
          <w:szCs w:val="22"/>
          <w:lang w:val="en-US"/>
        </w:rPr>
        <w:t xml:space="preserve"> state systems. But this can fundamentally undermine or pre-empt state consolidation by creating what Ashraf Ghani and his colleagues labelled a “dual public authority”.</w:t>
      </w:r>
      <w:r w:rsidRPr="008B4D4B">
        <w:rPr>
          <w:rFonts w:ascii="Didot" w:hAnsi="Didot" w:cs="Didot"/>
          <w:color w:val="121212"/>
          <w:sz w:val="22"/>
          <w:szCs w:val="22"/>
          <w:vertAlign w:val="superscript"/>
          <w:lang w:val="en-US"/>
        </w:rPr>
        <w:footnoteReference w:id="15"/>
      </w:r>
      <w:r w:rsidRPr="008B4D4B">
        <w:rPr>
          <w:rFonts w:ascii="Didot" w:hAnsi="Didot" w:cs="Didot"/>
          <w:color w:val="121212"/>
          <w:sz w:val="22"/>
          <w:szCs w:val="22"/>
          <w:lang w:val="en-US"/>
        </w:rPr>
        <w:t xml:space="preserve"> When resources are channeled outside of state systems, this can create rival systems of patronage and alternative sources of power. While this can sometimes be constructive in a well-consolidated state, it can be deadly where </w:t>
      </w:r>
      <w:proofErr w:type="gramStart"/>
      <w:r w:rsidRPr="008B4D4B">
        <w:rPr>
          <w:rFonts w:ascii="Didot" w:hAnsi="Didot" w:cs="Didot"/>
          <w:color w:val="121212"/>
          <w:sz w:val="22"/>
          <w:szCs w:val="22"/>
          <w:lang w:val="en-US"/>
        </w:rPr>
        <w:t>state-building</w:t>
      </w:r>
      <w:proofErr w:type="gramEnd"/>
      <w:r w:rsidRPr="008B4D4B">
        <w:rPr>
          <w:rFonts w:ascii="Didot" w:hAnsi="Didot" w:cs="Didot"/>
          <w:color w:val="121212"/>
          <w:sz w:val="22"/>
          <w:szCs w:val="22"/>
          <w:lang w:val="en-US"/>
        </w:rPr>
        <w:t xml:space="preserve"> is still on the agenda. </w:t>
      </w:r>
    </w:p>
    <w:p w14:paraId="3DB8ABCC"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ab/>
      </w:r>
    </w:p>
    <w:p w14:paraId="70A37332"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Liberal prescriptions for economic governance can also exacerbate the sources of violence. For instance, IMF insistence on reducing government deficits in Guinea </w:t>
      </w:r>
      <w:proofErr w:type="gramStart"/>
      <w:r w:rsidRPr="008B4D4B">
        <w:rPr>
          <w:rFonts w:ascii="Didot" w:hAnsi="Didot" w:cs="Didot"/>
          <w:color w:val="121212"/>
          <w:sz w:val="22"/>
          <w:szCs w:val="22"/>
          <w:lang w:val="en-US"/>
        </w:rPr>
        <w:t>Bissau,</w:t>
      </w:r>
      <w:proofErr w:type="gramEnd"/>
      <w:r w:rsidRPr="008B4D4B">
        <w:rPr>
          <w:rFonts w:ascii="Didot" w:hAnsi="Didot" w:cs="Didot"/>
          <w:color w:val="121212"/>
          <w:sz w:val="22"/>
          <w:szCs w:val="22"/>
          <w:lang w:val="en-US"/>
        </w:rPr>
        <w:t xml:space="preserve"> meant that the salaries of soldiers and police were not paid, directly contributing to the outbreak of violence in the country.</w:t>
      </w:r>
      <w:r w:rsidRPr="008B4D4B">
        <w:rPr>
          <w:rFonts w:ascii="Didot" w:hAnsi="Didot" w:cs="Didot"/>
          <w:color w:val="121212"/>
          <w:sz w:val="22"/>
          <w:szCs w:val="22"/>
          <w:vertAlign w:val="superscript"/>
          <w:lang w:val="en-US"/>
        </w:rPr>
        <w:footnoteReference w:id="16"/>
      </w:r>
      <w:r w:rsidRPr="008B4D4B">
        <w:rPr>
          <w:rFonts w:ascii="Didot" w:hAnsi="Didot" w:cs="Didot"/>
          <w:color w:val="121212"/>
          <w:sz w:val="22"/>
          <w:szCs w:val="22"/>
          <w:lang w:val="en-US"/>
        </w:rPr>
        <w:t xml:space="preserve"> Imposing fiduciary rules on the allocation of government contracts can lead to the exclusion of important elites from economic opportunities thus giving them less of a stake in the state. In a poverty-stricken country emerging out of war, establishing basic economic activity through the promotion of agricultural and manufacturing activities can remain much more important for a long period of time than ensuring that those activities meet the rules of efficiency. It is often more important for considerable periods of time that elites and non-elites have access to sources of wealth generation and </w:t>
      </w:r>
      <w:r w:rsidRPr="008B4D4B">
        <w:rPr>
          <w:rFonts w:ascii="Didot" w:hAnsi="Didot" w:cs="Didot"/>
          <w:color w:val="121212"/>
          <w:sz w:val="22"/>
          <w:szCs w:val="22"/>
          <w:lang w:val="en-US"/>
        </w:rPr>
        <w:lastRenderedPageBreak/>
        <w:t>income, than that the economy function efficiently, even if that means developmental progress is delayed. Such progress will be delayed in much more fundamental terms if a country falls back into violence. The same can be said of the rush to privatise moribund state assets after war, where the state has neither the capacity nor necessarily the inclination to ensure that those assets are fairly accessible to domestic economic elites.</w:t>
      </w:r>
      <w:r w:rsidRPr="008B4D4B">
        <w:rPr>
          <w:rFonts w:ascii="Didot" w:hAnsi="Didot" w:cs="Didot"/>
          <w:color w:val="121212"/>
          <w:sz w:val="22"/>
          <w:szCs w:val="22"/>
          <w:vertAlign w:val="superscript"/>
          <w:lang w:val="en-US"/>
        </w:rPr>
        <w:footnoteReference w:id="17"/>
      </w:r>
    </w:p>
    <w:p w14:paraId="498726F2" w14:textId="77777777" w:rsidR="00C33C84" w:rsidRPr="008B4D4B" w:rsidRDefault="00C33C84" w:rsidP="008A7E29">
      <w:pPr>
        <w:jc w:val="both"/>
        <w:rPr>
          <w:rFonts w:ascii="Didot" w:hAnsi="Didot" w:cs="Didot"/>
          <w:color w:val="121212"/>
          <w:sz w:val="22"/>
          <w:szCs w:val="22"/>
          <w:lang w:val="en-US"/>
        </w:rPr>
      </w:pPr>
    </w:p>
    <w:p w14:paraId="60EDED66" w14:textId="77777777" w:rsidR="00C33C84" w:rsidRPr="008B4D4B" w:rsidRDefault="00C33C84" w:rsidP="008A7E29">
      <w:pPr>
        <w:jc w:val="both"/>
        <w:rPr>
          <w:rFonts w:ascii="Didot" w:hAnsi="Didot" w:cs="Didot"/>
          <w:b/>
          <w:color w:val="121212"/>
          <w:sz w:val="22"/>
          <w:szCs w:val="22"/>
          <w:lang w:val="en-US"/>
        </w:rPr>
      </w:pPr>
      <w:r w:rsidRPr="008B4D4B">
        <w:rPr>
          <w:rFonts w:ascii="Didot" w:hAnsi="Didot" w:cs="Didot"/>
          <w:b/>
          <w:color w:val="121212"/>
          <w:sz w:val="22"/>
          <w:szCs w:val="22"/>
          <w:lang w:val="en-US"/>
        </w:rPr>
        <w:t>Conclusion</w:t>
      </w:r>
    </w:p>
    <w:p w14:paraId="22B959F1" w14:textId="77777777" w:rsidR="00C33C84" w:rsidRPr="008B4D4B" w:rsidRDefault="00C33C84" w:rsidP="008A7E29">
      <w:pPr>
        <w:jc w:val="both"/>
        <w:rPr>
          <w:rFonts w:ascii="Didot" w:hAnsi="Didot" w:cs="Didot"/>
          <w:color w:val="121212"/>
          <w:sz w:val="22"/>
          <w:szCs w:val="22"/>
          <w:lang w:val="en-US"/>
        </w:rPr>
      </w:pPr>
    </w:p>
    <w:p w14:paraId="3BBC3E01" w14:textId="77777777" w:rsidR="00C33C84" w:rsidRPr="008B4D4B" w:rsidRDefault="00C33C84" w:rsidP="008A7E29">
      <w:pPr>
        <w:jc w:val="both"/>
        <w:rPr>
          <w:rFonts w:ascii="Didot" w:hAnsi="Didot" w:cs="Didot"/>
          <w:color w:val="121212"/>
          <w:sz w:val="22"/>
          <w:szCs w:val="22"/>
          <w:lang w:val="en-US"/>
        </w:rPr>
      </w:pPr>
      <w:r w:rsidRPr="008B4D4B">
        <w:rPr>
          <w:rFonts w:ascii="Didot" w:hAnsi="Didot" w:cs="Didot"/>
          <w:color w:val="121212"/>
          <w:sz w:val="22"/>
          <w:szCs w:val="22"/>
          <w:lang w:val="en-US"/>
        </w:rPr>
        <w:t xml:space="preserve">The politics of reducing violence necessitate a move away from received wisdoms about the promotion of democracy, economic liberalism and efficiency. The surest way to reduce violence in poor and </w:t>
      </w:r>
      <w:proofErr w:type="gramStart"/>
      <w:r w:rsidRPr="008B4D4B">
        <w:rPr>
          <w:rFonts w:ascii="Didot" w:hAnsi="Didot" w:cs="Didot"/>
          <w:color w:val="121212"/>
          <w:sz w:val="22"/>
          <w:szCs w:val="22"/>
          <w:lang w:val="en-US"/>
        </w:rPr>
        <w:t>middle income</w:t>
      </w:r>
      <w:proofErr w:type="gramEnd"/>
      <w:r w:rsidRPr="008B4D4B">
        <w:rPr>
          <w:rFonts w:ascii="Didot" w:hAnsi="Didot" w:cs="Didot"/>
          <w:color w:val="121212"/>
          <w:sz w:val="22"/>
          <w:szCs w:val="22"/>
          <w:lang w:val="en-US"/>
        </w:rPr>
        <w:t xml:space="preserve"> countries is to avoid, except in cases of genocide, external military interventions as a means of regime change. Destroying the organisations and institutions of a state, even a repressive state, through foreign military intervention is the surest way to create the conditions for long-lasting violence. Foreign actors cannot build inclusive political settlements, but they can recognise the need to both promote and not undermine the forging of such settlements in the countries that they are assisting. To do so may require breaking from long-held tenets about the efficient delivery of services, the promotion of democratic forms of participation, the respect of fiduciary rules in the allocation of contracts or the promotion of efficient macroeconomic management. Before urging “security sector reform”, international agencies should ensure that security sectors can be established with a unified chain of command and their forces paid salaries capable of supporting themselves and their families. The delivery of health care to communities needs to be done by building up state systems and not bypassing them, which will mean tolerating reasonable levels of inefficiency and corruption. This vantage point needs to become much more central in the thinking of international actors if they actually want to ensure a reduction in the levels of violence in poor and middle income countries in the future.</w:t>
      </w:r>
    </w:p>
    <w:p w14:paraId="048DCCA0" w14:textId="77777777" w:rsidR="00C33C84" w:rsidRPr="006916FC" w:rsidRDefault="00C33C84" w:rsidP="008A7E29">
      <w:pPr>
        <w:jc w:val="both"/>
        <w:rPr>
          <w:rFonts w:ascii="Didot" w:hAnsi="Didot" w:cs="Didot"/>
          <w:color w:val="121212"/>
          <w:sz w:val="22"/>
          <w:szCs w:val="22"/>
          <w:lang w:val="en-US"/>
        </w:rPr>
      </w:pPr>
    </w:p>
    <w:p w14:paraId="104C3983" w14:textId="77777777" w:rsidR="00C33C84" w:rsidRPr="006916FC" w:rsidRDefault="00C33C84" w:rsidP="008A7E29">
      <w:pPr>
        <w:pBdr>
          <w:bottom w:val="single" w:sz="12" w:space="1" w:color="auto"/>
        </w:pBdr>
        <w:jc w:val="both"/>
        <w:rPr>
          <w:rFonts w:ascii="Didot" w:hAnsi="Didot" w:cs="Didot"/>
        </w:rPr>
      </w:pPr>
    </w:p>
    <w:p w14:paraId="5ECF5804" w14:textId="77777777" w:rsidR="00C33C84" w:rsidRPr="006916FC" w:rsidRDefault="00C33C84" w:rsidP="008A7E29">
      <w:pPr>
        <w:jc w:val="both"/>
        <w:rPr>
          <w:rFonts w:ascii="Didot" w:hAnsi="Didot" w:cs="Didot"/>
        </w:rPr>
      </w:pPr>
    </w:p>
    <w:p w14:paraId="191B41EE" w14:textId="77777777" w:rsidR="00C33C84" w:rsidRPr="006916FC" w:rsidRDefault="00C33C84" w:rsidP="008A7E29">
      <w:pPr>
        <w:pStyle w:val="Heading2"/>
        <w:jc w:val="both"/>
        <w:rPr>
          <w:rFonts w:ascii="Didot" w:hAnsi="Didot" w:cs="Didot"/>
          <w:color w:val="auto"/>
          <w:sz w:val="34"/>
          <w:szCs w:val="34"/>
        </w:rPr>
      </w:pPr>
      <w:bookmarkStart w:id="53" w:name="_Toc272639909"/>
      <w:bookmarkStart w:id="54" w:name="_Toc272645032"/>
      <w:r w:rsidRPr="006916FC">
        <w:rPr>
          <w:rFonts w:ascii="Didot" w:hAnsi="Didot" w:cs="Didot"/>
          <w:color w:val="auto"/>
          <w:sz w:val="34"/>
          <w:szCs w:val="34"/>
        </w:rPr>
        <w:t>Innocent Chukwuma</w:t>
      </w:r>
      <w:bookmarkEnd w:id="53"/>
      <w:bookmarkEnd w:id="54"/>
    </w:p>
    <w:p w14:paraId="45BD037A" w14:textId="77777777" w:rsidR="00C33C84" w:rsidRPr="006916FC" w:rsidRDefault="00C33C84" w:rsidP="008A7E29">
      <w:pPr>
        <w:widowControl w:val="0"/>
        <w:autoSpaceDE w:val="0"/>
        <w:autoSpaceDN w:val="0"/>
        <w:adjustRightInd w:val="0"/>
        <w:spacing w:after="200"/>
        <w:jc w:val="both"/>
        <w:rPr>
          <w:rFonts w:ascii="Didot" w:hAnsi="Didot" w:cs="Didot"/>
          <w:b/>
          <w:color w:val="121212"/>
          <w:lang w:val="en-US"/>
        </w:rPr>
      </w:pPr>
    </w:p>
    <w:p w14:paraId="43F5A5E5" w14:textId="77777777" w:rsidR="00C33C84" w:rsidRPr="006916FC" w:rsidRDefault="00C33C84"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Abstract</w:t>
      </w:r>
    </w:p>
    <w:p w14:paraId="41EA1E6E" w14:textId="77777777" w:rsidR="00C33C84" w:rsidRPr="006916FC" w:rsidRDefault="00C33C84"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Fair and Accountable Security Forces as a Strategy for Reduction of Identity-based Violence in West-Africa</w:t>
      </w:r>
    </w:p>
    <w:p w14:paraId="4D9E2C70" w14:textId="77777777" w:rsidR="00C33C84" w:rsidRPr="008B4D4B" w:rsidRDefault="00C33C84"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Identity-based violence, particularly the primordial typologies such as kinship, tribal, ethnic, and religious attacks and counter attacks leading to unaccountable deaths, maiming, mass displacements and destruction of property and livelihoods, has been on the rise in parts of West Africa since the end of the cold war.</w:t>
      </w:r>
    </w:p>
    <w:p w14:paraId="481BB3A8" w14:textId="77777777" w:rsidR="00C33C84" w:rsidRPr="008B4D4B" w:rsidRDefault="00C33C84"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lastRenderedPageBreak/>
        <w:t>In the search for preventive solutions, significant scholarly and policy attention have been paid to sources and risk factors with mixed results. These include search for better frameworks for sharing proceeds of natural resources that abound in the region and seen as the major source of violent conflicts. Constitutional reform programs to address what has been referred to as the 'citizenship question', a situation where some groups feel that they are marginalized and denied access to social, economic and political opportunities available to others in their countries. And of course high level of poverty and unemployment among young people, which arguably predispose them to being available for recruitment for all manner of campaigns including group violence.</w:t>
      </w:r>
    </w:p>
    <w:p w14:paraId="69C80E3E" w14:textId="77777777" w:rsidR="00C33C84" w:rsidRPr="008B4D4B" w:rsidRDefault="00C33C84"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It would seem, however, that not much policy and programmatic attention has been paid to the conduct of state institutions, particularly security forces, when deployed to intervene in identity-based conflict and mounting evidence from human rights organizations that their actions have contributed in exacerbating violence in such conflicts. As we gather on how to reduce violence by 50% over the next 30 years, this paper calls for more attention to better governance of security intervention in identity-based conflicts in West Africa, partnership with civil society and improved resource commitment to extant measures that address the root causes of the violence with particular focus on ethno-religious and communal violence in Nigeria.</w:t>
      </w:r>
    </w:p>
    <w:p w14:paraId="3AD7550A" w14:textId="77777777" w:rsidR="00C33C84" w:rsidRPr="006916FC" w:rsidRDefault="00C33C84"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p>
    <w:p w14:paraId="71E6256A" w14:textId="77777777" w:rsidR="00C33C84" w:rsidRPr="006916FC" w:rsidRDefault="00C33C84" w:rsidP="008A7E29">
      <w:pPr>
        <w:widowControl w:val="0"/>
        <w:autoSpaceDE w:val="0"/>
        <w:autoSpaceDN w:val="0"/>
        <w:adjustRightInd w:val="0"/>
        <w:spacing w:after="240"/>
        <w:jc w:val="both"/>
        <w:rPr>
          <w:rFonts w:ascii="Didot" w:hAnsi="Didot" w:cs="Didot"/>
          <w:color w:val="121212"/>
          <w:sz w:val="22"/>
          <w:szCs w:val="22"/>
          <w:lang w:val="en-US"/>
        </w:rPr>
      </w:pPr>
    </w:p>
    <w:p w14:paraId="253649F9" w14:textId="77777777" w:rsidR="00C33C84" w:rsidRPr="006916FC" w:rsidRDefault="00C33C84" w:rsidP="008A7E29">
      <w:pPr>
        <w:widowControl w:val="0"/>
        <w:autoSpaceDE w:val="0"/>
        <w:autoSpaceDN w:val="0"/>
        <w:adjustRightInd w:val="0"/>
        <w:spacing w:after="240"/>
        <w:jc w:val="both"/>
        <w:rPr>
          <w:rFonts w:ascii="Didot" w:hAnsi="Didot" w:cs="Didot"/>
          <w:b/>
          <w:lang w:val="en-GB"/>
        </w:rPr>
      </w:pPr>
      <w:r w:rsidRPr="006916FC">
        <w:rPr>
          <w:rFonts w:ascii="Didot" w:hAnsi="Didot" w:cs="Didot"/>
          <w:b/>
          <w:lang w:val="en-GB"/>
        </w:rPr>
        <w:t>Summary</w:t>
      </w:r>
    </w:p>
    <w:p w14:paraId="2EC08FAD" w14:textId="77777777" w:rsidR="00C33C84" w:rsidRPr="006916FC" w:rsidRDefault="00C33C84"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Fair and Accountable Security Forces as a Strategy for Reduction of Identity-based Violence in West-Africa</w:t>
      </w:r>
    </w:p>
    <w:p w14:paraId="4A2ABDB0" w14:textId="77777777" w:rsidR="00C33C84" w:rsidRDefault="00C33C84" w:rsidP="008A7E29">
      <w:pPr>
        <w:widowControl w:val="0"/>
        <w:autoSpaceDE w:val="0"/>
        <w:autoSpaceDN w:val="0"/>
        <w:adjustRightInd w:val="0"/>
        <w:spacing w:after="240"/>
        <w:jc w:val="both"/>
        <w:rPr>
          <w:rFonts w:ascii="Didot" w:hAnsi="Didot" w:cs="Didot"/>
          <w:b/>
          <w:color w:val="121212"/>
          <w:lang w:val="en-US"/>
        </w:rPr>
      </w:pPr>
    </w:p>
    <w:p w14:paraId="33A5238D" w14:textId="77777777" w:rsidR="00BB521F" w:rsidRPr="006916FC" w:rsidRDefault="00BB521F" w:rsidP="008A7E29">
      <w:pPr>
        <w:widowControl w:val="0"/>
        <w:autoSpaceDE w:val="0"/>
        <w:autoSpaceDN w:val="0"/>
        <w:adjustRightInd w:val="0"/>
        <w:spacing w:after="240"/>
        <w:jc w:val="both"/>
        <w:rPr>
          <w:rFonts w:ascii="Didot" w:hAnsi="Didot" w:cs="Didot"/>
          <w:color w:val="121212"/>
          <w:sz w:val="22"/>
          <w:szCs w:val="22"/>
          <w:lang w:val="en-US"/>
        </w:rPr>
        <w:sectPr w:rsidR="00BB521F" w:rsidRPr="006916FC" w:rsidSect="003D6AB9">
          <w:type w:val="continuous"/>
          <w:pgSz w:w="11900" w:h="16840"/>
          <w:pgMar w:top="1440" w:right="1800" w:bottom="1440" w:left="1800" w:header="708" w:footer="708" w:gutter="0"/>
          <w:pgNumType w:start="1"/>
          <w:cols w:space="708"/>
          <w:docGrid w:linePitch="360"/>
        </w:sectPr>
      </w:pPr>
    </w:p>
    <w:p w14:paraId="64BBD284" w14:textId="77777777" w:rsidR="00C33C84" w:rsidRPr="008B4D4B" w:rsidRDefault="00C33C84" w:rsidP="008A7E29">
      <w:pPr>
        <w:jc w:val="both"/>
        <w:rPr>
          <w:rFonts w:ascii="Didot" w:hAnsi="Didot" w:cs="Didot"/>
          <w:b/>
          <w:sz w:val="22"/>
          <w:szCs w:val="22"/>
          <w:lang w:val="en-GB"/>
        </w:rPr>
      </w:pPr>
      <w:r w:rsidRPr="008B4D4B">
        <w:rPr>
          <w:rFonts w:ascii="Didot" w:hAnsi="Didot" w:cs="Didot"/>
          <w:b/>
          <w:sz w:val="22"/>
          <w:szCs w:val="22"/>
          <w:lang w:val="en-GB"/>
        </w:rPr>
        <w:lastRenderedPageBreak/>
        <w:t xml:space="preserve">Introduction </w:t>
      </w:r>
    </w:p>
    <w:p w14:paraId="1487FA08" w14:textId="77777777" w:rsidR="00C33C84" w:rsidRPr="008B4D4B" w:rsidRDefault="00C33C84" w:rsidP="008A7E29">
      <w:pPr>
        <w:jc w:val="both"/>
        <w:rPr>
          <w:rFonts w:ascii="Didot" w:hAnsi="Didot" w:cs="Didot"/>
          <w:sz w:val="22"/>
          <w:szCs w:val="22"/>
          <w:lang w:val="en-GB"/>
        </w:rPr>
      </w:pPr>
    </w:p>
    <w:p w14:paraId="3F8FC3D9" w14:textId="77777777" w:rsidR="00C33C84" w:rsidRPr="008B4D4B" w:rsidRDefault="00C33C84" w:rsidP="008A7E29">
      <w:pPr>
        <w:jc w:val="both"/>
        <w:rPr>
          <w:rFonts w:ascii="Didot" w:hAnsi="Didot" w:cs="Didot"/>
          <w:sz w:val="22"/>
          <w:szCs w:val="22"/>
          <w:lang w:val="en-GB"/>
        </w:rPr>
      </w:pPr>
      <w:r w:rsidRPr="008B4D4B">
        <w:rPr>
          <w:rFonts w:ascii="Didot" w:hAnsi="Didot" w:cs="Didot"/>
          <w:sz w:val="22"/>
          <w:szCs w:val="22"/>
          <w:lang w:val="en-GB"/>
        </w:rPr>
        <w:t>The 15 countries that make up the Economic Community of West African States (ECOWAS) have all gone through cycles of military coups, violent conflicts or civil wars over fear of or actual domination by one group or groups over others, leading to death, maiming and displacement of millions of people</w:t>
      </w:r>
      <w:r w:rsidRPr="008B4D4B">
        <w:rPr>
          <w:rStyle w:val="FootnoteReference"/>
          <w:rFonts w:ascii="Didot" w:hAnsi="Didot" w:cs="Didot"/>
          <w:sz w:val="22"/>
          <w:szCs w:val="22"/>
          <w:lang w:val="en-GB"/>
        </w:rPr>
        <w:footnoteReference w:id="18"/>
      </w:r>
      <w:r w:rsidRPr="008B4D4B">
        <w:rPr>
          <w:rFonts w:ascii="Didot" w:hAnsi="Didot" w:cs="Didot"/>
          <w:sz w:val="22"/>
          <w:szCs w:val="22"/>
          <w:lang w:val="en-GB"/>
        </w:rPr>
        <w:t>, majorly women and children. This has particularly being the case in the decades following the end of the cold war when identity politics and attendant conflicts previously frozen by brutal dictatorships exploded into violence in Africa (</w:t>
      </w:r>
      <w:r w:rsidRPr="008B4D4B">
        <w:rPr>
          <w:rFonts w:ascii="Didot" w:hAnsi="Didot" w:cs="Didot"/>
          <w:sz w:val="22"/>
          <w:szCs w:val="22"/>
        </w:rPr>
        <w:t>Bryden, N'Diaye and Olonisakin, 2008, 2005; Plessis, 2001; Lange, 2001)</w:t>
      </w:r>
      <w:r w:rsidRPr="008B4D4B">
        <w:rPr>
          <w:rFonts w:ascii="Didot" w:hAnsi="Didot" w:cs="Didot"/>
          <w:sz w:val="22"/>
          <w:szCs w:val="22"/>
          <w:lang w:val="en-GB"/>
        </w:rPr>
        <w:t xml:space="preserve">.  </w:t>
      </w:r>
    </w:p>
    <w:p w14:paraId="0959257D"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color w:val="000000"/>
          <w:sz w:val="22"/>
          <w:szCs w:val="22"/>
        </w:rPr>
      </w:pPr>
    </w:p>
    <w:p w14:paraId="3BFFF517"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color w:val="000000"/>
          <w:sz w:val="22"/>
          <w:szCs w:val="22"/>
        </w:rPr>
      </w:pPr>
      <w:r w:rsidRPr="008B4D4B">
        <w:rPr>
          <w:rFonts w:ascii="Didot" w:hAnsi="Didot" w:cs="Didot"/>
          <w:color w:val="000000"/>
          <w:sz w:val="22"/>
          <w:szCs w:val="22"/>
        </w:rPr>
        <w:t xml:space="preserve">Unable to continue to depend on super power allies that provided ideologically-based support without interest in how West African states were internally governed, the change in global power relations and dynamics following end of Cold </w:t>
      </w:r>
      <w:r w:rsidRPr="008B4D4B">
        <w:rPr>
          <w:rFonts w:ascii="Didot" w:hAnsi="Didot" w:cs="Didot"/>
          <w:color w:val="000000"/>
          <w:sz w:val="22"/>
          <w:szCs w:val="22"/>
        </w:rPr>
        <w:lastRenderedPageBreak/>
        <w:t>War and disintegration of the former Soviet bloc resulted to a parallel shift in the internal order of many countries in West Africa. And thus ensued an unstoppable transition process. In countries such as Ghana, Benin and Senegal, the transitions led to successful multiparty elections and thriving plural democracy. Other states such as Liberia, Sierra Leone, Cote d’Ivoire, Guinea Bissau and later Mali were not so successful as they were plunged into brutal civil wars and armed conflicts, which in some countries lasted over a decade (</w:t>
      </w:r>
      <w:r w:rsidRPr="008B4D4B">
        <w:rPr>
          <w:rFonts w:ascii="Didot" w:hAnsi="Didot" w:cs="Didot"/>
          <w:sz w:val="22"/>
          <w:szCs w:val="22"/>
        </w:rPr>
        <w:t>Bryden, N'Diaye and Olonisakin (2008: 4)</w:t>
      </w:r>
      <w:r w:rsidRPr="008B4D4B">
        <w:rPr>
          <w:rFonts w:ascii="Didot" w:hAnsi="Didot" w:cs="Didot"/>
          <w:color w:val="000000"/>
          <w:sz w:val="22"/>
          <w:szCs w:val="22"/>
        </w:rPr>
        <w:t xml:space="preserve">. </w:t>
      </w:r>
    </w:p>
    <w:p w14:paraId="656A5489"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color w:val="000000"/>
          <w:sz w:val="22"/>
          <w:szCs w:val="22"/>
        </w:rPr>
      </w:pPr>
    </w:p>
    <w:p w14:paraId="3B39FC2A"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r w:rsidRPr="008B4D4B">
        <w:rPr>
          <w:rFonts w:ascii="Didot" w:hAnsi="Didot" w:cs="Didot"/>
          <w:sz w:val="22"/>
          <w:szCs w:val="22"/>
        </w:rPr>
        <w:t xml:space="preserve">Over the past decade, West Africa has made significant progress particularly in ending its civil wars, entrenching elected civilian governments (however flawed) and maintaining decent macro economic growth due to rising commodity prices. In spite of these achievements, identity-based violence continues to be a major challenge to the socio-political development of the region and to security of life and economic well being of its over 245 million peoples and thus a major contributor to the fragility profile of the region (Fund for Peace, 2014; World Bank, 2013). </w:t>
      </w:r>
      <w:proofErr w:type="gramStart"/>
      <w:r w:rsidRPr="008B4D4B">
        <w:rPr>
          <w:rFonts w:ascii="Didot" w:hAnsi="Didot" w:cs="Didot"/>
          <w:sz w:val="22"/>
          <w:szCs w:val="22"/>
        </w:rPr>
        <w:t>11 out of the 15 countries in the sub-region have been flagged as fragile in the 2014 edition of the Fragile States Index published by Fund for Peace, with rankings ranging from ‘High Warning’ in Benin Republic, ‘Alert’</w:t>
      </w:r>
      <w:proofErr w:type="gramEnd"/>
      <w:r w:rsidRPr="008B4D4B">
        <w:rPr>
          <w:rFonts w:ascii="Didot" w:hAnsi="Didot" w:cs="Didot"/>
          <w:sz w:val="22"/>
          <w:szCs w:val="22"/>
        </w:rPr>
        <w:t xml:space="preserve"> in Nigeria to ‘High Alert’ in places like Cote D’ivoire and Guinea Bissau (Fund for Peace, 2014). The situation has not been helped by the highhanded intervention strategies of state institutions such as security forces in their response to identity-based conflicts in places like Nigeria.  </w:t>
      </w:r>
    </w:p>
    <w:p w14:paraId="3A8B9C6B" w14:textId="77777777" w:rsidR="00C33C84" w:rsidRPr="008B4D4B" w:rsidRDefault="00C33C84" w:rsidP="008A7E29">
      <w:pPr>
        <w:jc w:val="both"/>
        <w:rPr>
          <w:rFonts w:ascii="Didot" w:hAnsi="Didot" w:cs="Didot"/>
          <w:sz w:val="22"/>
          <w:szCs w:val="22"/>
          <w:lang w:val="en-GB"/>
        </w:rPr>
      </w:pPr>
      <w:r w:rsidRPr="008B4D4B">
        <w:rPr>
          <w:rFonts w:ascii="Didot" w:hAnsi="Didot" w:cs="Didot"/>
          <w:sz w:val="22"/>
          <w:szCs w:val="22"/>
          <w:lang w:val="en-GB"/>
        </w:rPr>
        <w:t xml:space="preserve">This paper focuses on better governance of security forces as a viable strategy in the quest for reduction of alarming spate of identity-based violence in West Africa, with particular attention to ethno-religious and communal violence in Nigeria.   </w:t>
      </w:r>
    </w:p>
    <w:p w14:paraId="18FC8173"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b/>
          <w:sz w:val="22"/>
          <w:szCs w:val="22"/>
        </w:rPr>
      </w:pPr>
    </w:p>
    <w:p w14:paraId="29FEE4AE"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b/>
          <w:sz w:val="22"/>
          <w:szCs w:val="22"/>
        </w:rPr>
      </w:pPr>
      <w:r w:rsidRPr="008B4D4B">
        <w:rPr>
          <w:rFonts w:ascii="Didot" w:hAnsi="Didot" w:cs="Didot"/>
          <w:b/>
          <w:sz w:val="22"/>
          <w:szCs w:val="22"/>
        </w:rPr>
        <w:t xml:space="preserve">Review of the Evidence </w:t>
      </w:r>
    </w:p>
    <w:p w14:paraId="3297C120"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b/>
          <w:sz w:val="22"/>
          <w:szCs w:val="22"/>
        </w:rPr>
      </w:pPr>
    </w:p>
    <w:p w14:paraId="02D8C145" w14:textId="77777777" w:rsidR="00C33C84" w:rsidRPr="008B4D4B" w:rsidRDefault="00C33C84" w:rsidP="008A7E29">
      <w:pPr>
        <w:widowControl w:val="0"/>
        <w:autoSpaceDE w:val="0"/>
        <w:autoSpaceDN w:val="0"/>
        <w:adjustRightInd w:val="0"/>
        <w:spacing w:after="240"/>
        <w:contextualSpacing/>
        <w:jc w:val="both"/>
        <w:rPr>
          <w:rFonts w:ascii="Didot" w:hAnsi="Didot" w:cs="Didot"/>
          <w:sz w:val="22"/>
          <w:szCs w:val="22"/>
        </w:rPr>
      </w:pPr>
      <w:r w:rsidRPr="008B4D4B">
        <w:rPr>
          <w:rFonts w:ascii="Didot" w:hAnsi="Didot" w:cs="Didot"/>
          <w:sz w:val="22"/>
          <w:szCs w:val="22"/>
        </w:rPr>
        <w:t>The continuing fragility of West Africa to large-scale violence in spite of recent progress made in ending civil wars has not gone unnoticed by stakeholders in the region. A 2010 conference in Liberia to review progress in ECOWAS noted that, “West Africa region remains precariously fragile and susceptible to relapse into violence and reversals in the democratization processes (Mustapha, 2013). Another high-level conference organized by the African Governance Institute (AGI) in Dakar, Senegal in 2013, restated the concern about fragility of peace in West Africa. What is significant though is that the AGI conference connected this fragility with the governance of the security sector, noting that:</w:t>
      </w:r>
    </w:p>
    <w:p w14:paraId="507B22F9" w14:textId="77777777" w:rsidR="00C33C84" w:rsidRPr="008B4D4B" w:rsidRDefault="00C33C84" w:rsidP="008A7E29">
      <w:pPr>
        <w:widowControl w:val="0"/>
        <w:autoSpaceDE w:val="0"/>
        <w:autoSpaceDN w:val="0"/>
        <w:adjustRightInd w:val="0"/>
        <w:spacing w:after="240"/>
        <w:contextualSpacing/>
        <w:jc w:val="both"/>
        <w:rPr>
          <w:rFonts w:ascii="Didot" w:hAnsi="Didot" w:cs="Didot"/>
          <w:sz w:val="22"/>
          <w:szCs w:val="22"/>
        </w:rPr>
      </w:pPr>
    </w:p>
    <w:p w14:paraId="1EF97910" w14:textId="77777777" w:rsidR="00C33C84" w:rsidRPr="008B4D4B" w:rsidRDefault="00C33C84" w:rsidP="008A7E29">
      <w:pPr>
        <w:widowControl w:val="0"/>
        <w:autoSpaceDE w:val="0"/>
        <w:autoSpaceDN w:val="0"/>
        <w:adjustRightInd w:val="0"/>
        <w:spacing w:after="240"/>
        <w:jc w:val="both"/>
        <w:rPr>
          <w:rFonts w:ascii="Didot" w:hAnsi="Didot" w:cs="Didot"/>
          <w:sz w:val="22"/>
          <w:szCs w:val="22"/>
        </w:rPr>
      </w:pPr>
      <w:r w:rsidRPr="008B4D4B">
        <w:rPr>
          <w:rFonts w:ascii="Didot" w:hAnsi="Didot" w:cs="Didot"/>
          <w:sz w:val="22"/>
          <w:szCs w:val="22"/>
        </w:rPr>
        <w:t>Recent developments in West Africa, especially in Mali and Guinea Bissau and elsewhere ... [are] consequences of poor governance in armed and security forces</w:t>
      </w:r>
      <w:proofErr w:type="gramStart"/>
      <w:r w:rsidRPr="008B4D4B">
        <w:rPr>
          <w:rFonts w:ascii="Didot" w:hAnsi="Didot" w:cs="Didot"/>
          <w:sz w:val="22"/>
          <w:szCs w:val="22"/>
        </w:rPr>
        <w:t>....</w:t>
      </w:r>
      <w:proofErr w:type="gramEnd"/>
      <w:r w:rsidRPr="008B4D4B">
        <w:rPr>
          <w:rFonts w:ascii="Didot" w:hAnsi="Didot" w:cs="Didot"/>
          <w:sz w:val="22"/>
          <w:szCs w:val="22"/>
        </w:rPr>
        <w:t xml:space="preserve"> In order to address the emerging human security challenges facing the continent, there is a need to reconsider the missions, the structures, the training and logistics of the armed and security forces (AGI 2013, quoted in Mustapha 2013:12).  </w:t>
      </w:r>
    </w:p>
    <w:p w14:paraId="63A613AE"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r w:rsidRPr="008B4D4B">
        <w:rPr>
          <w:rFonts w:ascii="Didot" w:hAnsi="Didot" w:cs="Didot"/>
          <w:sz w:val="22"/>
          <w:szCs w:val="22"/>
        </w:rPr>
        <w:t xml:space="preserve">Although official data on the extent of identity-based violence in West Africa, especially ethno-religious and communal typologies, are difficult to find and largely absent because of poor data culture of many countries in the sub-region, reports of non-governmental organizations and other stakeholders highlight the grave extent and size of the problem. In 2002, the Lagos based CLEEN Foundation in collaboration with the Geneva based World Organization Against Torture (OMCT), published a damning report on violence related to identity in Nigeria between 1999 </w:t>
      </w:r>
      <w:r w:rsidRPr="008B4D4B">
        <w:rPr>
          <w:rFonts w:ascii="Didot" w:hAnsi="Didot" w:cs="Didot"/>
          <w:sz w:val="22"/>
          <w:szCs w:val="22"/>
        </w:rPr>
        <w:lastRenderedPageBreak/>
        <w:t>and 2002 and stated: “In over fifty separate and documented incidents, over ten thousand Nigerians have reportedly been victims of extra-judicial executions at average of 200 executions per incident (CLEEN/OMCT, 2002: 9). The report went further to allege the involvement of security forces and stated, “Security agents acting in most cases on direct orders from the government, have been responsible for many of the deaths (CLEEN/OMCT, 2002:9)”.</w:t>
      </w:r>
    </w:p>
    <w:p w14:paraId="754DF53E"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p>
    <w:p w14:paraId="4AC62F1A"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r w:rsidRPr="008B4D4B">
        <w:rPr>
          <w:rFonts w:ascii="Didot" w:hAnsi="Didot" w:cs="Didot"/>
          <w:sz w:val="22"/>
          <w:szCs w:val="22"/>
        </w:rPr>
        <w:t xml:space="preserve">Similarly, in several reports spanning the fifteen years of elected civilian government in Nigeria, Human Rights Watch (1999, 2001, 2002, 2003, 2004, 2005, 2006, 2009, 2012, 2013) documented incidents of violence linked to ethno-religious and communal identity in Nigeria, with casualty rate in terms of deaths, maiming, displacements and loss of livelihoods and property running into millions of people. In several of the reports, the global rights watch body concluded that security forces bear heavy responsibility in being absent in the face of escalating violence, intervening late and contributing in increasing death tolls by engaging extra-legal killings. </w:t>
      </w:r>
    </w:p>
    <w:p w14:paraId="3009E1B9"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p>
    <w:p w14:paraId="0625318E"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r w:rsidRPr="008B4D4B">
        <w:rPr>
          <w:rFonts w:ascii="Didot" w:hAnsi="Didot" w:cs="Didot"/>
          <w:sz w:val="22"/>
          <w:szCs w:val="22"/>
        </w:rPr>
        <w:t xml:space="preserve">Behind most outbreaks of ethno-religious and communal violence in Nigeria are long standing disputes over land, natural resources, poverty, legally sanctioned discrimination on the basis of ethnic identity, youth unemployment and government preference for ad hoc approaches focused mainly on cessation of violence through massive deployment of unaccountable security forces in resolving what are clearly deep seated grievances requiring deliberate political, constitutional and economic reform measures and accountable of public institutions, especially security forces when deployed to intervene in such conflicts (Human Rights Watch 2013; 2008; Alubo, </w:t>
      </w:r>
      <w:proofErr w:type="gramStart"/>
      <w:r w:rsidRPr="008B4D4B">
        <w:rPr>
          <w:rFonts w:ascii="Didot" w:hAnsi="Didot" w:cs="Didot"/>
          <w:sz w:val="22"/>
          <w:szCs w:val="22"/>
        </w:rPr>
        <w:t>2009;  Osaghae</w:t>
      </w:r>
      <w:proofErr w:type="gramEnd"/>
      <w:r w:rsidRPr="008B4D4B">
        <w:rPr>
          <w:rFonts w:ascii="Didot" w:hAnsi="Didot" w:cs="Didot"/>
          <w:sz w:val="22"/>
          <w:szCs w:val="22"/>
        </w:rPr>
        <w:t xml:space="preserve"> and Suberu, 2005).  </w:t>
      </w:r>
    </w:p>
    <w:p w14:paraId="5BEAC2AA"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p>
    <w:p w14:paraId="583AE8CB"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b/>
          <w:sz w:val="22"/>
          <w:szCs w:val="22"/>
        </w:rPr>
      </w:pPr>
      <w:r w:rsidRPr="008B4D4B">
        <w:rPr>
          <w:rFonts w:ascii="Didot" w:hAnsi="Didot" w:cs="Didot"/>
          <w:b/>
          <w:sz w:val="22"/>
          <w:szCs w:val="22"/>
        </w:rPr>
        <w:t xml:space="preserve">My Research and Contribution </w:t>
      </w:r>
    </w:p>
    <w:p w14:paraId="6701A94E"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p>
    <w:p w14:paraId="45C91550"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r w:rsidRPr="008B4D4B">
        <w:rPr>
          <w:rFonts w:ascii="Didot" w:hAnsi="Didot" w:cs="Didot"/>
          <w:sz w:val="22"/>
          <w:szCs w:val="22"/>
        </w:rPr>
        <w:t xml:space="preserve">From a review of the literature and in particular the seven-country West African study (including Nigeria, Ghana, Sierra Leone, Mali, Burkina Faso, Liberian and Niger) on governance of security intervention in conflicts carried out by the Lagos-based CLEEN Foundation in 2012/2013, which this paper draws heavily from, it is seems clear to </w:t>
      </w:r>
      <w:proofErr w:type="gramStart"/>
      <w:r w:rsidRPr="008B4D4B">
        <w:rPr>
          <w:rFonts w:ascii="Didot" w:hAnsi="Didot" w:cs="Didot"/>
          <w:sz w:val="22"/>
          <w:szCs w:val="22"/>
        </w:rPr>
        <w:t>me</w:t>
      </w:r>
      <w:proofErr w:type="gramEnd"/>
      <w:r w:rsidRPr="008B4D4B">
        <w:rPr>
          <w:rFonts w:ascii="Didot" w:hAnsi="Didot" w:cs="Didot"/>
          <w:sz w:val="22"/>
          <w:szCs w:val="22"/>
        </w:rPr>
        <w:t xml:space="preserve"> that any serious efforts to reduce violence in the sub-region, especially ethno-religious and communal violence in Nigeria requires significant and focused attention at two broad levels:</w:t>
      </w:r>
    </w:p>
    <w:p w14:paraId="4E438131" w14:textId="77777777" w:rsidR="00C33C84" w:rsidRPr="008B4D4B" w:rsidRDefault="00C33C84" w:rsidP="008A7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dot" w:hAnsi="Didot" w:cs="Didot"/>
          <w:sz w:val="22"/>
          <w:szCs w:val="22"/>
        </w:rPr>
      </w:pPr>
    </w:p>
    <w:p w14:paraId="0EC01A8F" w14:textId="77777777" w:rsidR="00C33C84" w:rsidRPr="008B4D4B" w:rsidRDefault="00C33C84" w:rsidP="008A7E29">
      <w:pPr>
        <w:tabs>
          <w:tab w:val="left" w:pos="220"/>
          <w:tab w:val="left" w:pos="720"/>
        </w:tabs>
        <w:autoSpaceDE w:val="0"/>
        <w:autoSpaceDN w:val="0"/>
        <w:adjustRightInd w:val="0"/>
        <w:spacing w:after="240"/>
        <w:jc w:val="both"/>
        <w:rPr>
          <w:rFonts w:ascii="Didot" w:hAnsi="Didot" w:cs="Didot"/>
          <w:sz w:val="22"/>
          <w:szCs w:val="22"/>
        </w:rPr>
      </w:pPr>
      <w:r w:rsidRPr="008B4D4B">
        <w:rPr>
          <w:rFonts w:ascii="Didot" w:hAnsi="Didot" w:cs="Didot"/>
          <w:sz w:val="22"/>
          <w:szCs w:val="22"/>
        </w:rPr>
        <w:t xml:space="preserve">At the primary or root cause level, finding equitable frameworks for sharing proceeds of natural resources that abound in the region and seen as the major source of violent conflicts, are key. </w:t>
      </w:r>
      <w:proofErr w:type="gramStart"/>
      <w:r w:rsidRPr="008B4D4B">
        <w:rPr>
          <w:rFonts w:ascii="Didot" w:hAnsi="Didot" w:cs="Didot"/>
          <w:sz w:val="22"/>
          <w:szCs w:val="22"/>
        </w:rPr>
        <w:t>And so are the need to deepen democracy as the preferred system of government; embarking on constitutional and legal reforms measures to resolve the ‘citizenship question’, particularly marginalization of so called ‘settlers’ by ‘indigenes’</w:t>
      </w:r>
      <w:proofErr w:type="gramEnd"/>
      <w:r w:rsidRPr="008B4D4B">
        <w:rPr>
          <w:rFonts w:ascii="Didot" w:hAnsi="Didot" w:cs="Didot"/>
          <w:sz w:val="22"/>
          <w:szCs w:val="22"/>
        </w:rPr>
        <w:t xml:space="preserve"> in many states of the federations in social, economic and political opportunities regardless of how long they have lived in the states and pay their taxes; and of course the high level of poverty and unemployment among young people, which arguably predispose them to being available for recruitment for all manner of campaigns including group violence. </w:t>
      </w:r>
    </w:p>
    <w:p w14:paraId="7AC786AF" w14:textId="77777777" w:rsidR="00C33C84" w:rsidRPr="008B4D4B" w:rsidRDefault="00C33C84" w:rsidP="008A7E29">
      <w:pPr>
        <w:tabs>
          <w:tab w:val="left" w:pos="220"/>
          <w:tab w:val="left" w:pos="720"/>
        </w:tabs>
        <w:autoSpaceDE w:val="0"/>
        <w:autoSpaceDN w:val="0"/>
        <w:adjustRightInd w:val="0"/>
        <w:spacing w:after="240"/>
        <w:jc w:val="both"/>
        <w:rPr>
          <w:rFonts w:ascii="Didot" w:hAnsi="Didot" w:cs="Didot"/>
          <w:sz w:val="22"/>
          <w:szCs w:val="22"/>
        </w:rPr>
      </w:pPr>
      <w:r w:rsidRPr="008B4D4B">
        <w:rPr>
          <w:rFonts w:ascii="Didot" w:hAnsi="Didot" w:cs="Didot"/>
          <w:sz w:val="22"/>
          <w:szCs w:val="22"/>
        </w:rPr>
        <w:t xml:space="preserve">At the secondary level, which is the focus of this paper, the conduct and accountability of security forces, especially the police and the military, when </w:t>
      </w:r>
      <w:r w:rsidRPr="008B4D4B">
        <w:rPr>
          <w:rFonts w:ascii="Didot" w:hAnsi="Didot" w:cs="Didot"/>
          <w:sz w:val="22"/>
          <w:szCs w:val="22"/>
        </w:rPr>
        <w:lastRenderedPageBreak/>
        <w:t xml:space="preserve">deployed to intervene in ethno-religious and communal violence are critical. Political authorities in the sub-region should no longer measure success in such interventions only in terms cessation of violence in particular incidents alone but also by degree of adherence of security forces to national and international human rights standards governing such interventions and ensuring that before security forces are deployed to conflict sites, they are properly trained, provided with clear rules of engagement consistent with human rights standards, adequate logistics and supplies and monitored by variety of stakeholders including civil society groups for effective compliance. These are necessary in order to reduce the unacceptably high level of violence reportedly deployed in such interventions and prevention of community retaliation and security reprisals.   </w:t>
      </w:r>
    </w:p>
    <w:p w14:paraId="5386E441" w14:textId="77777777" w:rsidR="00C33C84" w:rsidRPr="008B4D4B" w:rsidRDefault="00C33C84" w:rsidP="008A7E29">
      <w:pPr>
        <w:tabs>
          <w:tab w:val="left" w:pos="220"/>
          <w:tab w:val="left" w:pos="720"/>
        </w:tabs>
        <w:autoSpaceDE w:val="0"/>
        <w:autoSpaceDN w:val="0"/>
        <w:adjustRightInd w:val="0"/>
        <w:spacing w:after="240"/>
        <w:jc w:val="both"/>
        <w:rPr>
          <w:rFonts w:ascii="Didot" w:hAnsi="Didot" w:cs="Didot"/>
          <w:sz w:val="22"/>
          <w:szCs w:val="22"/>
        </w:rPr>
      </w:pPr>
      <w:r w:rsidRPr="008B4D4B">
        <w:rPr>
          <w:rFonts w:ascii="Didot" w:hAnsi="Didot" w:cs="Didot"/>
          <w:sz w:val="22"/>
          <w:szCs w:val="22"/>
        </w:rPr>
        <w:t xml:space="preserve">The findings of the study indicates that: </w:t>
      </w:r>
    </w:p>
    <w:p w14:paraId="78EF750A" w14:textId="77777777" w:rsidR="00C33C84" w:rsidRPr="008B4D4B" w:rsidRDefault="00C33C84" w:rsidP="008A7E29">
      <w:pPr>
        <w:pStyle w:val="ListParagraph"/>
        <w:widowControl w:val="0"/>
        <w:numPr>
          <w:ilvl w:val="0"/>
          <w:numId w:val="16"/>
        </w:numPr>
        <w:tabs>
          <w:tab w:val="left" w:pos="220"/>
          <w:tab w:val="left" w:pos="720"/>
        </w:tabs>
        <w:autoSpaceDE w:val="0"/>
        <w:autoSpaceDN w:val="0"/>
        <w:adjustRightInd w:val="0"/>
        <w:spacing w:after="320"/>
        <w:jc w:val="both"/>
        <w:rPr>
          <w:rFonts w:ascii="Didot" w:hAnsi="Didot" w:cs="Didot"/>
          <w:sz w:val="22"/>
          <w:szCs w:val="22"/>
        </w:rPr>
      </w:pPr>
      <w:r w:rsidRPr="008B4D4B">
        <w:rPr>
          <w:rFonts w:ascii="Didot" w:hAnsi="Didot" w:cs="Didot"/>
          <w:sz w:val="22"/>
          <w:szCs w:val="22"/>
        </w:rPr>
        <w:t>Wider societal democratic context is critical for proper governance of intervention of security forces in identity-based conflicts. The experience of Ghana has shown that there is a close connection between deepening of democracy and reduction of violence in conflicts associated with identity (Iddi, 2013). In the case of Nigeria, the democratic process has been frozen in a grey zone of politics that is neither out-rightly authoritarian nor deeply democratic and hence the increasing level of violence deployed in identity violence both non-state and state actors.</w:t>
      </w:r>
    </w:p>
    <w:p w14:paraId="156A0243" w14:textId="77777777" w:rsidR="00C33C84" w:rsidRPr="008B4D4B" w:rsidRDefault="00C33C84" w:rsidP="008A7E29">
      <w:pPr>
        <w:pStyle w:val="ListParagraph"/>
        <w:widowControl w:val="0"/>
        <w:tabs>
          <w:tab w:val="left" w:pos="220"/>
          <w:tab w:val="left" w:pos="720"/>
        </w:tabs>
        <w:autoSpaceDE w:val="0"/>
        <w:autoSpaceDN w:val="0"/>
        <w:adjustRightInd w:val="0"/>
        <w:spacing w:after="320"/>
        <w:jc w:val="both"/>
        <w:rPr>
          <w:rFonts w:ascii="Didot" w:hAnsi="Didot" w:cs="Didot"/>
          <w:sz w:val="22"/>
          <w:szCs w:val="22"/>
        </w:rPr>
      </w:pPr>
    </w:p>
    <w:p w14:paraId="1EE5811C" w14:textId="77777777" w:rsidR="00C33C84" w:rsidRPr="008B4D4B" w:rsidRDefault="00C33C84" w:rsidP="008A7E29">
      <w:pPr>
        <w:pStyle w:val="ListParagraph"/>
        <w:widowControl w:val="0"/>
        <w:numPr>
          <w:ilvl w:val="0"/>
          <w:numId w:val="16"/>
        </w:numPr>
        <w:tabs>
          <w:tab w:val="left" w:pos="220"/>
          <w:tab w:val="left" w:pos="720"/>
        </w:tabs>
        <w:autoSpaceDE w:val="0"/>
        <w:autoSpaceDN w:val="0"/>
        <w:adjustRightInd w:val="0"/>
        <w:spacing w:after="240"/>
        <w:jc w:val="both"/>
        <w:rPr>
          <w:rFonts w:ascii="Didot" w:hAnsi="Didot" w:cs="Didot"/>
          <w:sz w:val="22"/>
          <w:szCs w:val="22"/>
        </w:rPr>
      </w:pPr>
      <w:r w:rsidRPr="008B4D4B">
        <w:rPr>
          <w:rFonts w:ascii="Didot" w:hAnsi="Didot" w:cs="Didot"/>
          <w:sz w:val="22"/>
          <w:szCs w:val="22"/>
        </w:rPr>
        <w:t>Decentralization of the security institution and civil society participation in their governing councils increase legitimacy and accountability. This particularly important if participating representatives of civil society are trained and familiar with concepts and issues in civilian oversight of the security sector: In Ghana, the decentralization of the intelligence institution through the creation of Regional Security Committees (REGSEC) and District Security Committees (DISEC) and the opening up of these committees to civil society participation was one of the contributory factors in the minimization of violence in an ethno-religious conflict in Hohoe district, located in the Volta region (east) of the country in 2012 (Iddi, 2013).</w:t>
      </w:r>
    </w:p>
    <w:p w14:paraId="6596CE8F" w14:textId="77777777" w:rsidR="00C33C84" w:rsidRPr="008B4D4B" w:rsidRDefault="00C33C84" w:rsidP="008A7E29">
      <w:pPr>
        <w:pStyle w:val="ListParagraph"/>
        <w:widowControl w:val="0"/>
        <w:tabs>
          <w:tab w:val="left" w:pos="220"/>
          <w:tab w:val="left" w:pos="720"/>
        </w:tabs>
        <w:autoSpaceDE w:val="0"/>
        <w:autoSpaceDN w:val="0"/>
        <w:adjustRightInd w:val="0"/>
        <w:spacing w:after="240"/>
        <w:jc w:val="both"/>
        <w:rPr>
          <w:rFonts w:ascii="Didot" w:hAnsi="Didot" w:cs="Didot"/>
          <w:sz w:val="22"/>
          <w:szCs w:val="22"/>
        </w:rPr>
      </w:pPr>
    </w:p>
    <w:p w14:paraId="657F3769" w14:textId="77777777" w:rsidR="00C33C84" w:rsidRPr="008B4D4B" w:rsidRDefault="00C33C84" w:rsidP="008A7E29">
      <w:pPr>
        <w:pStyle w:val="ListParagraph"/>
        <w:widowControl w:val="0"/>
        <w:numPr>
          <w:ilvl w:val="0"/>
          <w:numId w:val="16"/>
        </w:numPr>
        <w:tabs>
          <w:tab w:val="left" w:pos="220"/>
          <w:tab w:val="left" w:pos="720"/>
        </w:tabs>
        <w:autoSpaceDE w:val="0"/>
        <w:autoSpaceDN w:val="0"/>
        <w:adjustRightInd w:val="0"/>
        <w:spacing w:after="320"/>
        <w:jc w:val="both"/>
        <w:rPr>
          <w:rFonts w:ascii="Didot" w:hAnsi="Didot" w:cs="Didot"/>
          <w:sz w:val="22"/>
          <w:szCs w:val="22"/>
        </w:rPr>
      </w:pPr>
      <w:r w:rsidRPr="008B4D4B">
        <w:rPr>
          <w:rFonts w:ascii="Didot" w:hAnsi="Didot" w:cs="Didot"/>
          <w:sz w:val="22"/>
          <w:szCs w:val="22"/>
        </w:rPr>
        <w:t>Clear jurisdictions and development of protocols for collaboration and coordination among security forces, which details procedure for intervention by security agencies, at what stage in an unfolding conflicts and coordination arrangements (Idrissa, 2013; Abdu, 2013). In Niger the legal framework governing the security sector helps to diffuse any tensions between the various services by clearly demarcating their jurisdictions and spheres of operations. Protocols of cross-service collaboration also seem very well articulated. This reduces inter-agency rivalries and misadventures (Idrissa, 2013).</w:t>
      </w:r>
    </w:p>
    <w:p w14:paraId="5C7DB3D3" w14:textId="77777777" w:rsidR="00C33C84" w:rsidRPr="008B4D4B" w:rsidRDefault="00C33C84" w:rsidP="008A7E29">
      <w:pPr>
        <w:pStyle w:val="ListParagraph"/>
        <w:widowControl w:val="0"/>
        <w:tabs>
          <w:tab w:val="left" w:pos="220"/>
          <w:tab w:val="left" w:pos="720"/>
        </w:tabs>
        <w:autoSpaceDE w:val="0"/>
        <w:autoSpaceDN w:val="0"/>
        <w:adjustRightInd w:val="0"/>
        <w:spacing w:after="320"/>
        <w:jc w:val="both"/>
        <w:rPr>
          <w:rFonts w:ascii="Didot" w:hAnsi="Didot" w:cs="Didot"/>
          <w:sz w:val="22"/>
          <w:szCs w:val="22"/>
        </w:rPr>
      </w:pPr>
    </w:p>
    <w:p w14:paraId="5D688915" w14:textId="77777777" w:rsidR="00C33C84" w:rsidRPr="008B4D4B" w:rsidRDefault="00C33C84" w:rsidP="008A7E29">
      <w:pPr>
        <w:pStyle w:val="ListParagraph"/>
        <w:widowControl w:val="0"/>
        <w:numPr>
          <w:ilvl w:val="0"/>
          <w:numId w:val="16"/>
        </w:numPr>
        <w:tabs>
          <w:tab w:val="left" w:pos="220"/>
          <w:tab w:val="left" w:pos="720"/>
        </w:tabs>
        <w:autoSpaceDE w:val="0"/>
        <w:autoSpaceDN w:val="0"/>
        <w:adjustRightInd w:val="0"/>
        <w:spacing w:after="320"/>
        <w:jc w:val="both"/>
        <w:rPr>
          <w:rFonts w:ascii="Didot" w:hAnsi="Didot" w:cs="Didot"/>
          <w:sz w:val="22"/>
          <w:szCs w:val="22"/>
        </w:rPr>
      </w:pPr>
      <w:r w:rsidRPr="008B4D4B">
        <w:rPr>
          <w:rFonts w:ascii="Didot" w:hAnsi="Didot" w:cs="Didot"/>
          <w:sz w:val="22"/>
          <w:szCs w:val="22"/>
        </w:rPr>
        <w:t xml:space="preserve">Presidential Commissions and panels of inquiry periodically established to look into systemic violence and patterns/prevalence of abuse of rights by security forces have been found to be effective especially when their reports are published and recommendations scrupulously implemented. In Ghana, such commissions have reportedly led to improved police performance. </w:t>
      </w:r>
    </w:p>
    <w:p w14:paraId="0E5FC5E5" w14:textId="77777777" w:rsidR="00C33C84" w:rsidRPr="008B4D4B" w:rsidRDefault="00C33C84" w:rsidP="008A7E29">
      <w:pPr>
        <w:pStyle w:val="ListParagraph"/>
        <w:widowControl w:val="0"/>
        <w:tabs>
          <w:tab w:val="left" w:pos="220"/>
          <w:tab w:val="left" w:pos="720"/>
        </w:tabs>
        <w:autoSpaceDE w:val="0"/>
        <w:autoSpaceDN w:val="0"/>
        <w:adjustRightInd w:val="0"/>
        <w:spacing w:after="320"/>
        <w:jc w:val="both"/>
        <w:rPr>
          <w:rFonts w:ascii="Didot" w:hAnsi="Didot" w:cs="Didot"/>
          <w:sz w:val="22"/>
          <w:szCs w:val="22"/>
        </w:rPr>
      </w:pPr>
    </w:p>
    <w:p w14:paraId="0B379ED0" w14:textId="77777777" w:rsidR="00C33C84" w:rsidRPr="008B4D4B" w:rsidRDefault="00C33C84" w:rsidP="008A7E29">
      <w:pPr>
        <w:pStyle w:val="ListParagraph"/>
        <w:widowControl w:val="0"/>
        <w:numPr>
          <w:ilvl w:val="0"/>
          <w:numId w:val="16"/>
        </w:numPr>
        <w:tabs>
          <w:tab w:val="left" w:pos="220"/>
          <w:tab w:val="left" w:pos="720"/>
        </w:tabs>
        <w:autoSpaceDE w:val="0"/>
        <w:autoSpaceDN w:val="0"/>
        <w:adjustRightInd w:val="0"/>
        <w:spacing w:after="320"/>
        <w:jc w:val="both"/>
        <w:rPr>
          <w:rFonts w:ascii="Didot" w:hAnsi="Didot" w:cs="Didot"/>
          <w:sz w:val="22"/>
          <w:szCs w:val="22"/>
        </w:rPr>
      </w:pPr>
      <w:r w:rsidRPr="008B4D4B">
        <w:rPr>
          <w:rFonts w:ascii="Didot" w:hAnsi="Didot" w:cs="Didot"/>
          <w:sz w:val="22"/>
          <w:szCs w:val="22"/>
        </w:rPr>
        <w:lastRenderedPageBreak/>
        <w:t>Others include training of Parliamentarians oversight functions with attention to the security sector; Comprehensive reform of the military and police and provision of logistics and supplies when they security forces are deployed in intervene in conflict situations.</w:t>
      </w:r>
    </w:p>
    <w:p w14:paraId="6FD44303" w14:textId="77777777" w:rsidR="00C33C84" w:rsidRPr="006916FC" w:rsidRDefault="00C33C84" w:rsidP="008A7E29">
      <w:pPr>
        <w:jc w:val="both"/>
        <w:rPr>
          <w:rFonts w:ascii="Didot" w:hAnsi="Didot" w:cs="Didot"/>
          <w:b/>
          <w:color w:val="121212"/>
          <w:sz w:val="22"/>
          <w:szCs w:val="22"/>
          <w:lang w:val="en-US"/>
        </w:rPr>
        <w:sectPr w:rsidR="00C33C84" w:rsidRPr="006916FC" w:rsidSect="00160E26">
          <w:type w:val="continuous"/>
          <w:pgSz w:w="11900" w:h="16840"/>
          <w:pgMar w:top="1440" w:right="1800" w:bottom="1440" w:left="1800" w:header="708" w:footer="708" w:gutter="0"/>
          <w:pgNumType w:start="1"/>
          <w:cols w:space="708"/>
          <w:docGrid w:linePitch="360"/>
        </w:sectPr>
      </w:pPr>
    </w:p>
    <w:p w14:paraId="3D1BC5CC" w14:textId="77777777" w:rsidR="00C33C84" w:rsidRPr="006916FC" w:rsidRDefault="00C33C84" w:rsidP="008A7E29">
      <w:pPr>
        <w:pBdr>
          <w:bottom w:val="single" w:sz="6" w:space="1" w:color="auto"/>
        </w:pBdr>
        <w:jc w:val="both"/>
        <w:rPr>
          <w:rFonts w:ascii="Didot" w:hAnsi="Didot" w:cs="Didot"/>
          <w:b/>
          <w:color w:val="121212"/>
          <w:lang w:val="en-US"/>
        </w:rPr>
      </w:pPr>
    </w:p>
    <w:p w14:paraId="6D7FF8C0" w14:textId="77777777" w:rsidR="00C33C84" w:rsidRPr="006916FC" w:rsidRDefault="00C33C84" w:rsidP="008A7E29">
      <w:pPr>
        <w:jc w:val="both"/>
        <w:rPr>
          <w:rFonts w:ascii="Didot" w:hAnsi="Didot" w:cs="Didot"/>
          <w:b/>
          <w:color w:val="121212"/>
          <w:sz w:val="28"/>
          <w:szCs w:val="28"/>
          <w:lang w:val="en-US"/>
        </w:rPr>
      </w:pPr>
    </w:p>
    <w:p w14:paraId="6176CF31" w14:textId="77777777" w:rsidR="00C33C84" w:rsidRPr="006916FC" w:rsidRDefault="00C33C84" w:rsidP="008A7E29">
      <w:pPr>
        <w:pStyle w:val="Heading2"/>
        <w:jc w:val="both"/>
        <w:rPr>
          <w:rFonts w:ascii="Didot" w:hAnsi="Didot" w:cs="Didot"/>
          <w:color w:val="auto"/>
          <w:sz w:val="34"/>
          <w:szCs w:val="34"/>
        </w:rPr>
      </w:pPr>
      <w:bookmarkStart w:id="55" w:name="_Toc272639910"/>
      <w:bookmarkStart w:id="56" w:name="_Toc272645033"/>
      <w:r w:rsidRPr="006916FC">
        <w:rPr>
          <w:rFonts w:ascii="Didot" w:hAnsi="Didot" w:cs="Didot"/>
          <w:color w:val="auto"/>
          <w:sz w:val="34"/>
          <w:szCs w:val="34"/>
        </w:rPr>
        <w:t>Maria Stephan</w:t>
      </w:r>
      <w:bookmarkEnd w:id="55"/>
      <w:bookmarkEnd w:id="56"/>
    </w:p>
    <w:p w14:paraId="25F764F1" w14:textId="77777777" w:rsidR="00C33C84" w:rsidRPr="006916FC" w:rsidRDefault="00C33C84" w:rsidP="008A7E29">
      <w:pPr>
        <w:jc w:val="both"/>
        <w:rPr>
          <w:rFonts w:ascii="Didot" w:hAnsi="Didot" w:cs="Didot"/>
          <w:b/>
          <w:color w:val="121212"/>
          <w:sz w:val="28"/>
          <w:szCs w:val="28"/>
          <w:lang w:val="en-US"/>
        </w:rPr>
      </w:pPr>
    </w:p>
    <w:p w14:paraId="1EE838BC" w14:textId="77777777" w:rsidR="00C33C84" w:rsidRPr="006916FC" w:rsidRDefault="00C33C84"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Biography</w:t>
      </w:r>
    </w:p>
    <w:p w14:paraId="4DD54D34" w14:textId="77777777" w:rsidR="00C33C84" w:rsidRPr="008B4D4B" w:rsidRDefault="00C33C84" w:rsidP="008A7E29">
      <w:pPr>
        <w:widowControl w:val="0"/>
        <w:autoSpaceDE w:val="0"/>
        <w:autoSpaceDN w:val="0"/>
        <w:adjustRightInd w:val="0"/>
        <w:spacing w:after="240"/>
        <w:jc w:val="both"/>
        <w:rPr>
          <w:rFonts w:ascii="Didot" w:hAnsi="Didot" w:cs="Didot"/>
          <w:b/>
          <w:color w:val="121212"/>
          <w:sz w:val="22"/>
          <w:szCs w:val="22"/>
          <w:lang w:val="en-US"/>
        </w:rPr>
      </w:pPr>
      <w:r w:rsidRPr="008B4D4B">
        <w:rPr>
          <w:rFonts w:ascii="Didot" w:hAnsi="Didot" w:cs="Didot"/>
          <w:color w:val="121212"/>
          <w:sz w:val="22"/>
          <w:szCs w:val="22"/>
          <w:lang w:val="en-US"/>
        </w:rPr>
        <w:t>Dr. Maria J. Stephan is a senior policy fellow at the United States Institute of Peace (USIP) and a nonresident senior fellow at the Atlantic Council, where she focuses on the dynamics of civil resistance and their relevance for violent conflict prevention and democratic development. Previously, Stephan was lead foreign affairs officer in the U.S. State Department's Bureau of Conflict and Stabilization Operations (CSO), where she worked on both policy and operations. Her last assignment entailed engaging the Syrian opposition in Turkey.  Earlier, she was detailed to the U.S. Embassy in Kabul, Afghanistan to focus on subnational governance and civil-military planning.</w:t>
      </w:r>
    </w:p>
    <w:p w14:paraId="0AFF939E" w14:textId="77777777" w:rsidR="00C33C84" w:rsidRPr="008B4D4B" w:rsidRDefault="00C33C84"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Prior to government service, Stephan directed policy and research at the International Center on Nonviolent Conflict (ICNC), a DC-based NGO dedicated to developing and disseminating knowledge about nonviolent struggle.  She was an adjunct professor at Georgetown University's School of Foreign Service and American University's School of International Service.  Stephan is the editor of Civilian Jihad: Nonviolent Struggle, Democratization and Governance in the Middle East (Palgrave, 2009) and the co-author of Why Civil Resistance Works: The Strategic Logic of Nonviolent Conflict (Columbia University Press, 2011).  The </w:t>
      </w:r>
      <w:proofErr w:type="gramStart"/>
      <w:r w:rsidRPr="008B4D4B">
        <w:rPr>
          <w:rFonts w:ascii="Didot" w:hAnsi="Didot" w:cs="Didot"/>
          <w:color w:val="121212"/>
          <w:sz w:val="22"/>
          <w:szCs w:val="22"/>
          <w:lang w:val="en-US"/>
        </w:rPr>
        <w:t>latter book was awarded the 2012 Woodrow Wilson Foundation Prize by the American Political Science Association for the best book published in political science and the 2012 University of Louisville Grawemeyer Award for Ideas Improving World Order</w:t>
      </w:r>
      <w:proofErr w:type="gramEnd"/>
      <w:r w:rsidRPr="008B4D4B">
        <w:rPr>
          <w:rFonts w:ascii="Didot" w:hAnsi="Didot" w:cs="Didot"/>
          <w:color w:val="121212"/>
          <w:sz w:val="22"/>
          <w:szCs w:val="22"/>
          <w:lang w:val="en-US"/>
        </w:rPr>
        <w:t>.</w:t>
      </w:r>
    </w:p>
    <w:p w14:paraId="09CED211" w14:textId="77777777" w:rsidR="00C33C84" w:rsidRPr="008B4D4B" w:rsidRDefault="00C33C8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Stephan has worked with the European/NATO policy office of the U.S. Department of Defense, and at NATO Headquarters in Brussels.  She received both Harry S. Truman and J. William Fulbright scholarships. She holds doctoral and master's degrees from Tufts University's Fletcher School of Law and Diplomacy and a bachelor's degree from Boston College.  Stephan is from Clarendon, Vermont.</w:t>
      </w:r>
    </w:p>
    <w:p w14:paraId="5E5D9C75" w14:textId="77777777" w:rsidR="00C33C84" w:rsidRPr="006916FC" w:rsidRDefault="00C33C8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48481CE1" w14:textId="77777777" w:rsidR="00C33C84" w:rsidRPr="006916FC" w:rsidRDefault="00C33C84"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1188BE8E" w14:textId="77777777" w:rsidR="00C33C84" w:rsidRPr="006916FC" w:rsidRDefault="00C33C84"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Civil Resistance as a Powerful (and more Effective) Alternative to Violence</w:t>
      </w:r>
    </w:p>
    <w:p w14:paraId="460306C2" w14:textId="77777777" w:rsidR="00C33C84" w:rsidRPr="008B4D4B" w:rsidRDefault="00C33C84"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The hope that "people power" can successfully challenge dictatorships and usher </w:t>
      </w:r>
      <w:r w:rsidRPr="008B4D4B">
        <w:rPr>
          <w:rFonts w:ascii="Didot" w:hAnsi="Didot" w:cs="Didot"/>
          <w:color w:val="121212"/>
          <w:sz w:val="22"/>
          <w:szCs w:val="22"/>
          <w:lang w:val="en-US"/>
        </w:rPr>
        <w:lastRenderedPageBreak/>
        <w:t>in new and improved governing systems seems to be dashed. Ongoing carnage in Syria, continued instability in Libya, political assassination and restlessness in Tunisia, a bloody counter-revolution in Egypt, and bloody crackdowns against Ukrainian protestors in the Euromaidan would make anyone skeptical about the promise of nonviolent resistance against oppressive regimes.</w:t>
      </w:r>
    </w:p>
    <w:p w14:paraId="7D270AA7" w14:textId="77777777" w:rsidR="00C33C84" w:rsidRPr="008B4D4B" w:rsidRDefault="00C33C84" w:rsidP="008A7E29">
      <w:pPr>
        <w:widowControl w:val="0"/>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This skepticism is understandable but misplaced. Two years ago, Erica Chenoweth and I published a book called Why Civil Resistance Works: The Strategic Logic of Nonviolent Conflict. In analyzing data from 1900 through 2006, we discovered a simple finding: that campaigns of nonviolent resistance were twice as likely to succeed as campaigns of violent resistance, and that nonviolent campaigns ushered in greater chances of democracy and civil peace than armed struggle. This was true even in highly authoritarian, repressive, and powerful countries where we would think nonviolent resistance to fail.</w:t>
      </w:r>
    </w:p>
    <w:p w14:paraId="5DD0A220" w14:textId="77777777" w:rsidR="00C33C84" w:rsidRPr="008B4D4B" w:rsidRDefault="00C33C8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In fact, despite recent cynicism about the power of nonviolent resistance, a number of contemporary cases suggest that the historical record still holds. Civil resistance remains a superior strategy of social and political change in the face of oppression, and movements that opt for violence often unleash terrible destruction and bloodshed-in both the short and long term-usually without realizing the goals they set out to achieve.</w:t>
      </w:r>
    </w:p>
    <w:p w14:paraId="27E89066" w14:textId="77777777" w:rsidR="00C33C84" w:rsidRPr="006916FC" w:rsidRDefault="00C33C8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1FF86CAD" w14:textId="77777777" w:rsidR="00C33C84" w:rsidRPr="006916FC" w:rsidRDefault="00C33C84" w:rsidP="008A7E29">
      <w:pPr>
        <w:widowControl w:val="0"/>
        <w:autoSpaceDE w:val="0"/>
        <w:autoSpaceDN w:val="0"/>
        <w:adjustRightInd w:val="0"/>
        <w:spacing w:after="280"/>
        <w:jc w:val="both"/>
        <w:rPr>
          <w:rFonts w:ascii="Didot" w:hAnsi="Didot" w:cs="Didot"/>
          <w:b/>
          <w:bCs/>
        </w:rPr>
        <w:sectPr w:rsidR="00C33C84" w:rsidRPr="006916FC" w:rsidSect="003D6AB9">
          <w:type w:val="continuous"/>
          <w:pgSz w:w="11900" w:h="16840"/>
          <w:pgMar w:top="1440" w:right="1800" w:bottom="1440" w:left="1800" w:header="708" w:footer="708" w:gutter="0"/>
          <w:pgNumType w:start="1"/>
          <w:cols w:space="708"/>
          <w:docGrid w:linePitch="360"/>
        </w:sectPr>
      </w:pPr>
    </w:p>
    <w:p w14:paraId="186DF79A" w14:textId="77777777" w:rsidR="00C33C84" w:rsidRPr="006916FC" w:rsidRDefault="00C33C84" w:rsidP="008A7E29">
      <w:pPr>
        <w:widowControl w:val="0"/>
        <w:autoSpaceDE w:val="0"/>
        <w:autoSpaceDN w:val="0"/>
        <w:adjustRightInd w:val="0"/>
        <w:spacing w:after="280"/>
        <w:jc w:val="both"/>
        <w:rPr>
          <w:rFonts w:ascii="Didot" w:hAnsi="Didot" w:cs="Didot"/>
          <w:b/>
          <w:bCs/>
        </w:rPr>
      </w:pPr>
      <w:r w:rsidRPr="006916FC">
        <w:rPr>
          <w:rFonts w:ascii="Didot" w:hAnsi="Didot" w:cs="Didot"/>
          <w:b/>
          <w:bCs/>
        </w:rPr>
        <w:lastRenderedPageBreak/>
        <w:t>Summary</w:t>
      </w:r>
    </w:p>
    <w:p w14:paraId="4DC07EC0" w14:textId="77777777" w:rsidR="00C33C84" w:rsidRPr="006916FC" w:rsidRDefault="00C33C84"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Civil Resistance as a Powerful (and more Effective) Alternative to Violence</w:t>
      </w:r>
    </w:p>
    <w:p w14:paraId="6CCB613E" w14:textId="77777777" w:rsidR="00C33C84" w:rsidRPr="008B4D4B" w:rsidRDefault="00C33C84" w:rsidP="008A7E29">
      <w:pPr>
        <w:widowControl w:val="0"/>
        <w:autoSpaceDE w:val="0"/>
        <w:autoSpaceDN w:val="0"/>
        <w:adjustRightInd w:val="0"/>
        <w:spacing w:after="280"/>
        <w:jc w:val="both"/>
        <w:rPr>
          <w:rFonts w:ascii="Didot" w:hAnsi="Didot" w:cs="Didot"/>
          <w:bCs/>
          <w:sz w:val="22"/>
          <w:szCs w:val="22"/>
        </w:rPr>
      </w:pPr>
      <w:r w:rsidRPr="008B4D4B">
        <w:rPr>
          <w:rFonts w:ascii="Didot" w:hAnsi="Didot" w:cs="Didot"/>
          <w:b/>
          <w:bCs/>
          <w:sz w:val="22"/>
          <w:szCs w:val="22"/>
        </w:rPr>
        <w:t>I.</w:t>
      </w:r>
      <w:r w:rsidRPr="008B4D4B">
        <w:rPr>
          <w:rFonts w:ascii="Didot" w:hAnsi="Didot" w:cs="Didot"/>
          <w:bCs/>
          <w:sz w:val="22"/>
          <w:szCs w:val="22"/>
        </w:rPr>
        <w:t xml:space="preserve"> Recent events make it tough to be optimistic that global violence can be significantly reduced over the next 30 years.  Over 170,000 deaths in Syria after a nonviolent revolution morphed into civil war; thousands dead in the Central African Republic after armed insurgency and militia violence; nearly 2000 Gazans and around 70 Israelis killed following three weeks of resumed combat; thousands more slaughtered in Iraq by the extremist Islamic State; Russian-backed rebels in southeastern Ukraine trying to kill their way to secession; the list goes on. Intra-state wars, whose overall number has fortunately declined significantly over the past few decades, remain responsible for inflicting terrible violence and wreaking havoc around the world.  Their victims remain overwhelmingly civilian.  </w:t>
      </w:r>
    </w:p>
    <w:p w14:paraId="515E6B07" w14:textId="77777777" w:rsidR="00C33C84" w:rsidRPr="008B4D4B" w:rsidRDefault="00C33C84" w:rsidP="008A7E29">
      <w:pPr>
        <w:widowControl w:val="0"/>
        <w:autoSpaceDE w:val="0"/>
        <w:autoSpaceDN w:val="0"/>
        <w:adjustRightInd w:val="0"/>
        <w:spacing w:after="280"/>
        <w:jc w:val="both"/>
        <w:rPr>
          <w:rFonts w:ascii="Didot" w:hAnsi="Didot" w:cs="Didot"/>
          <w:bCs/>
          <w:sz w:val="22"/>
          <w:szCs w:val="22"/>
        </w:rPr>
      </w:pPr>
      <w:r w:rsidRPr="008B4D4B">
        <w:rPr>
          <w:rFonts w:ascii="Didot" w:hAnsi="Didot" w:cs="Didot"/>
          <w:bCs/>
          <w:sz w:val="22"/>
          <w:szCs w:val="22"/>
        </w:rPr>
        <w:t xml:space="preserve">If there is any silver lining, besides the general research findings by Steven Pinker and others that global levels of violence are at a historical all-time low, it is that civilian populations across the globe are increasingly fighting injustice and oppression using forceful but nonviolent methods.  Poles, South Africans, Chileans, Filipinos, Serbs, Lebanese, and Tunisians are just a few groups that have challenged repressive governments </w:t>
      </w:r>
      <w:proofErr w:type="gramStart"/>
      <w:r w:rsidRPr="008B4D4B">
        <w:rPr>
          <w:rFonts w:ascii="Didot" w:hAnsi="Didot" w:cs="Didot"/>
          <w:bCs/>
          <w:sz w:val="22"/>
          <w:szCs w:val="22"/>
        </w:rPr>
        <w:t>using  political</w:t>
      </w:r>
      <w:proofErr w:type="gramEnd"/>
      <w:r w:rsidRPr="008B4D4B">
        <w:rPr>
          <w:rFonts w:ascii="Didot" w:hAnsi="Didot" w:cs="Didot"/>
          <w:bCs/>
          <w:sz w:val="22"/>
          <w:szCs w:val="22"/>
        </w:rPr>
        <w:t xml:space="preserve"> satire, mass protests, consumer boycotts, sit-ins, and other forms of civil disobedience and noncooperation.  The track record of nonviolent civil resistance, even against brutal regimes willing to use violence, is impressive. </w:t>
      </w:r>
      <w:r w:rsidRPr="008B4D4B">
        <w:rPr>
          <w:rFonts w:ascii="Didot" w:hAnsi="Didot" w:cs="Didot"/>
          <w:bCs/>
          <w:i/>
          <w:sz w:val="22"/>
          <w:szCs w:val="22"/>
        </w:rPr>
        <w:t xml:space="preserve">If civil resistance were to become the predominant method of popular contention over the next 30 years, and the people using it became increasingly skilled and strategic, the world could witness a marked reduction of global violence caused </w:t>
      </w:r>
      <w:r w:rsidRPr="008B4D4B">
        <w:rPr>
          <w:rFonts w:ascii="Didot" w:hAnsi="Didot" w:cs="Didot"/>
          <w:bCs/>
          <w:i/>
          <w:sz w:val="22"/>
          <w:szCs w:val="22"/>
        </w:rPr>
        <w:lastRenderedPageBreak/>
        <w:t xml:space="preserve">by conflicts pitting populations against governments.    </w:t>
      </w:r>
    </w:p>
    <w:p w14:paraId="2E3CCDC6" w14:textId="77777777" w:rsidR="00C33C84" w:rsidRPr="008B4D4B" w:rsidRDefault="00C33C84" w:rsidP="008A7E29">
      <w:pPr>
        <w:widowControl w:val="0"/>
        <w:autoSpaceDE w:val="0"/>
        <w:autoSpaceDN w:val="0"/>
        <w:adjustRightInd w:val="0"/>
        <w:spacing w:after="280"/>
        <w:jc w:val="both"/>
        <w:rPr>
          <w:rFonts w:ascii="Didot" w:hAnsi="Didot" w:cs="Didot"/>
          <w:bCs/>
          <w:sz w:val="22"/>
          <w:szCs w:val="22"/>
        </w:rPr>
      </w:pPr>
      <w:r w:rsidRPr="008B4D4B">
        <w:rPr>
          <w:rFonts w:ascii="Didot" w:hAnsi="Didot" w:cs="Didot"/>
          <w:b/>
          <w:bCs/>
          <w:sz w:val="22"/>
          <w:szCs w:val="22"/>
        </w:rPr>
        <w:t>II.</w:t>
      </w:r>
      <w:r w:rsidRPr="008B4D4B">
        <w:rPr>
          <w:rFonts w:ascii="Didot" w:hAnsi="Didot" w:cs="Didot"/>
          <w:bCs/>
          <w:sz w:val="22"/>
          <w:szCs w:val="22"/>
        </w:rPr>
        <w:t xml:space="preserve"> Intra-state conflicts pitting aggrieved populations against repressive governments have dominated the global landscape since the end of World War II.  Some combination of non-existent or inadequate power-sharing mechanisms, institutionalized discrimination and the manipulation of identity politics, corruption and the lack of economic opportunity, and the denial of basic human rights and fundamental freedoms have fueled these conflicts.  Dictatorial regimes, including those led by Mao, Stalin, Hitler, Tojo, Pol Pot, Mengistu, Pinochet, Ceausescu, Sadaam Hussein, Bashir, Mugabe, and Assad have used their repressive apparatuses to launch purges, politicide, and genocide that have killed millions.  </w:t>
      </w:r>
    </w:p>
    <w:p w14:paraId="6DAF03C9" w14:textId="77777777" w:rsidR="00C33C84" w:rsidRPr="008B4D4B" w:rsidRDefault="00C33C84" w:rsidP="008A7E29">
      <w:pPr>
        <w:widowControl w:val="0"/>
        <w:autoSpaceDE w:val="0"/>
        <w:autoSpaceDN w:val="0"/>
        <w:adjustRightInd w:val="0"/>
        <w:spacing w:after="280"/>
        <w:jc w:val="both"/>
        <w:rPr>
          <w:rFonts w:ascii="Didot" w:hAnsi="Didot" w:cs="Didot"/>
          <w:bCs/>
          <w:sz w:val="22"/>
          <w:szCs w:val="22"/>
        </w:rPr>
      </w:pPr>
      <w:r w:rsidRPr="008B4D4B">
        <w:rPr>
          <w:rFonts w:ascii="Didot" w:hAnsi="Didot" w:cs="Didot"/>
          <w:bCs/>
          <w:sz w:val="22"/>
          <w:szCs w:val="22"/>
        </w:rPr>
        <w:t xml:space="preserve">Where there is repression, there is typically resistance.  Resistance to authoritarian or dictatorial rule has historically taken two forms: violent and nonviolent.  Armed groups that have challenged incumbent regimes have lost an astounding </w:t>
      </w:r>
      <w:proofErr w:type="gramStart"/>
      <w:r w:rsidRPr="008B4D4B">
        <w:rPr>
          <w:rFonts w:ascii="Didot" w:hAnsi="Didot" w:cs="Didot"/>
          <w:bCs/>
          <w:sz w:val="22"/>
          <w:szCs w:val="22"/>
        </w:rPr>
        <w:t>73%</w:t>
      </w:r>
      <w:proofErr w:type="gramEnd"/>
      <w:r w:rsidRPr="008B4D4B">
        <w:rPr>
          <w:rFonts w:ascii="Didot" w:hAnsi="Didot" w:cs="Didot"/>
          <w:bCs/>
          <w:sz w:val="22"/>
          <w:szCs w:val="22"/>
        </w:rPr>
        <w:t xml:space="preserve"> of the time.</w:t>
      </w:r>
      <w:r w:rsidRPr="008B4D4B">
        <w:rPr>
          <w:rStyle w:val="FootnoteReference"/>
          <w:rFonts w:ascii="Didot" w:hAnsi="Didot" w:cs="Didot"/>
          <w:bCs/>
          <w:sz w:val="22"/>
          <w:szCs w:val="22"/>
        </w:rPr>
        <w:footnoteReference w:id="19"/>
      </w:r>
      <w:r w:rsidRPr="008B4D4B">
        <w:rPr>
          <w:rFonts w:ascii="Didot" w:hAnsi="Didot" w:cs="Didot"/>
          <w:bCs/>
          <w:sz w:val="22"/>
          <w:szCs w:val="22"/>
        </w:rPr>
        <w:t xml:space="preserve">  The numbers of deaths, displacement, and destruction following such campaigns have been profound.  Studies have further found that most atrocities committed by states occur when they are confronted with armed insurgencies. </w:t>
      </w:r>
      <w:r w:rsidRPr="008B4D4B">
        <w:rPr>
          <w:rStyle w:val="FootnoteReference"/>
          <w:rFonts w:ascii="Didot" w:hAnsi="Didot" w:cs="Didot"/>
          <w:bCs/>
          <w:sz w:val="22"/>
          <w:szCs w:val="22"/>
        </w:rPr>
        <w:footnoteReference w:id="20"/>
      </w:r>
      <w:r w:rsidRPr="008B4D4B">
        <w:rPr>
          <w:rFonts w:ascii="Didot" w:hAnsi="Didot" w:cs="Didot"/>
          <w:bCs/>
          <w:sz w:val="22"/>
          <w:szCs w:val="22"/>
        </w:rPr>
        <w:t xml:space="preserve"> In those cases where armed insurgents have succeeded and taken over the reins of power they’ve typically ruled with an iron fist, contributing to further cycles of violence.  </w:t>
      </w:r>
      <w:proofErr w:type="gramStart"/>
      <w:r w:rsidRPr="008B4D4B">
        <w:rPr>
          <w:rFonts w:ascii="Didot" w:hAnsi="Didot" w:cs="Didot"/>
          <w:bCs/>
          <w:sz w:val="22"/>
          <w:szCs w:val="22"/>
        </w:rPr>
        <w:t>43%</w:t>
      </w:r>
      <w:proofErr w:type="gramEnd"/>
      <w:r w:rsidRPr="008B4D4B">
        <w:rPr>
          <w:rFonts w:ascii="Didot" w:hAnsi="Didot" w:cs="Didot"/>
          <w:bCs/>
          <w:sz w:val="22"/>
          <w:szCs w:val="22"/>
        </w:rPr>
        <w:t xml:space="preserve"> of countries that experienced armed resistance relapsed into civil war 10 years after the campaign ended – compared to 28% of those that experienced nonviolent campaigns.  How people fight for basic rights, freedoms, and a different system of governance strongly correlates with how violent or peaceful the society is afterwards.  </w:t>
      </w:r>
    </w:p>
    <w:p w14:paraId="6E313492" w14:textId="77777777" w:rsidR="00C33C84" w:rsidRPr="008B4D4B" w:rsidRDefault="00C33C84" w:rsidP="008A7E29">
      <w:pPr>
        <w:widowControl w:val="0"/>
        <w:autoSpaceDE w:val="0"/>
        <w:autoSpaceDN w:val="0"/>
        <w:adjustRightInd w:val="0"/>
        <w:spacing w:after="280"/>
        <w:jc w:val="both"/>
        <w:rPr>
          <w:rFonts w:ascii="Didot" w:hAnsi="Didot" w:cs="Didot"/>
          <w:color w:val="070707"/>
          <w:sz w:val="22"/>
          <w:szCs w:val="22"/>
        </w:rPr>
      </w:pPr>
      <w:r w:rsidRPr="008B4D4B">
        <w:rPr>
          <w:rFonts w:ascii="Didot" w:hAnsi="Didot" w:cs="Didot"/>
          <w:color w:val="070707"/>
          <w:sz w:val="22"/>
          <w:szCs w:val="22"/>
        </w:rPr>
        <w:t xml:space="preserve">On the positive side, Uppsala University’s Conflict Data Program (UCDP) found that compared to the period right after the end of the Cold War, where more than 50 conflicts were active, armed conflicts have declined by almost </w:t>
      </w:r>
      <w:proofErr w:type="gramStart"/>
      <w:r w:rsidRPr="008B4D4B">
        <w:rPr>
          <w:rFonts w:ascii="Didot" w:hAnsi="Didot" w:cs="Didot"/>
          <w:color w:val="070707"/>
          <w:sz w:val="22"/>
          <w:szCs w:val="22"/>
        </w:rPr>
        <w:t>40%</w:t>
      </w:r>
      <w:proofErr w:type="gramEnd"/>
      <w:r w:rsidRPr="008B4D4B">
        <w:rPr>
          <w:rFonts w:ascii="Didot" w:hAnsi="Didot" w:cs="Didot"/>
          <w:color w:val="070707"/>
          <w:sz w:val="22"/>
          <w:szCs w:val="22"/>
        </w:rPr>
        <w:t>. Conflicts claiming more than 1,000 lives, defined as wars, have declined by more than 50 percent, from 15 in the early 1990s to seven in 2013.</w:t>
      </w:r>
      <w:r w:rsidRPr="008B4D4B">
        <w:rPr>
          <w:rStyle w:val="FootnoteReference"/>
          <w:rFonts w:ascii="Didot" w:hAnsi="Didot" w:cs="Didot"/>
          <w:color w:val="070707"/>
          <w:sz w:val="22"/>
          <w:szCs w:val="22"/>
        </w:rPr>
        <w:footnoteReference w:id="21"/>
      </w:r>
      <w:r w:rsidRPr="008B4D4B">
        <w:rPr>
          <w:rFonts w:ascii="Didot" w:hAnsi="Didot" w:cs="Didot"/>
          <w:color w:val="070707"/>
          <w:sz w:val="22"/>
          <w:szCs w:val="22"/>
        </w:rPr>
        <w:t xml:space="preserve">  It is possible that such armed conflicts could be further reduced if people increasingly relied on forceful nonviolent means to advance their social, economic, and political goals.  </w:t>
      </w:r>
    </w:p>
    <w:p w14:paraId="70BABD4C" w14:textId="77777777" w:rsidR="00C33C84" w:rsidRPr="008B4D4B" w:rsidRDefault="00C33C84" w:rsidP="008A7E29">
      <w:pPr>
        <w:jc w:val="both"/>
        <w:rPr>
          <w:rFonts w:ascii="Didot" w:hAnsi="Didot" w:cs="Didot"/>
          <w:sz w:val="22"/>
          <w:szCs w:val="22"/>
        </w:rPr>
      </w:pPr>
      <w:r w:rsidRPr="008B4D4B">
        <w:rPr>
          <w:rFonts w:ascii="Didot" w:hAnsi="Didot" w:cs="Didot"/>
          <w:b/>
          <w:color w:val="070707"/>
          <w:sz w:val="22"/>
          <w:szCs w:val="22"/>
        </w:rPr>
        <w:t>III.</w:t>
      </w:r>
      <w:r w:rsidRPr="008B4D4B">
        <w:rPr>
          <w:rFonts w:ascii="Didot" w:hAnsi="Didot" w:cs="Didot"/>
          <w:color w:val="070707"/>
          <w:sz w:val="22"/>
          <w:szCs w:val="22"/>
        </w:rPr>
        <w:t xml:space="preserve"> </w:t>
      </w:r>
      <w:r w:rsidRPr="008B4D4B">
        <w:rPr>
          <w:rFonts w:ascii="Didot" w:hAnsi="Didot" w:cs="Didot"/>
          <w:sz w:val="22"/>
          <w:szCs w:val="22"/>
        </w:rPr>
        <w:t xml:space="preserve">Two years ago, Erica Chenoweth and I published a book called </w:t>
      </w:r>
      <w:r w:rsidRPr="008B4D4B">
        <w:rPr>
          <w:rFonts w:ascii="Didot" w:hAnsi="Didot" w:cs="Didot"/>
          <w:i/>
          <w:sz w:val="22"/>
          <w:szCs w:val="22"/>
        </w:rPr>
        <w:t>Why Civil Resistance Works: The Strategic Logic of Nonviolent Conflict</w:t>
      </w:r>
      <w:r w:rsidRPr="008B4D4B">
        <w:rPr>
          <w:rFonts w:ascii="Didot" w:hAnsi="Didot" w:cs="Didot"/>
          <w:sz w:val="22"/>
          <w:szCs w:val="22"/>
        </w:rPr>
        <w:t>. In analyzing 323 campaigns from 1900 through 2006, we made a simple argument: that campaigns of nonviolent resistance were twice as likely to succeed as campaigns of violent resistance, and that nonviolent campaigns ushered in greater chances of democracy and civil peace than their violent alternatives.  This was true even in highly authoritarian and repressive countries where one might expect nonviolent resistance to fail. Contrary to conventional wisdom, no social, economic, or political structures have systematically prevented nonviolent campaigns from emerging or succeeding.</w:t>
      </w:r>
    </w:p>
    <w:p w14:paraId="46FCFAFB" w14:textId="77777777" w:rsidR="00C33C84" w:rsidRPr="008B4D4B" w:rsidRDefault="00C33C84" w:rsidP="008A7E29">
      <w:pPr>
        <w:jc w:val="both"/>
        <w:rPr>
          <w:rFonts w:ascii="Didot" w:hAnsi="Didot" w:cs="Didot"/>
          <w:sz w:val="22"/>
          <w:szCs w:val="22"/>
        </w:rPr>
      </w:pPr>
    </w:p>
    <w:p w14:paraId="72353816" w14:textId="77777777" w:rsidR="00C33C84" w:rsidRPr="008B4D4B" w:rsidRDefault="00C33C84" w:rsidP="008A7E29">
      <w:pPr>
        <w:pStyle w:val="ParaAttribute0"/>
        <w:wordWrap/>
        <w:jc w:val="both"/>
        <w:rPr>
          <w:rFonts w:ascii="Didot" w:eastAsia="Times New Roman" w:hAnsi="Didot" w:cs="Didot"/>
          <w:sz w:val="22"/>
          <w:szCs w:val="22"/>
        </w:rPr>
      </w:pPr>
      <w:r w:rsidRPr="008B4D4B">
        <w:rPr>
          <w:rStyle w:val="CharAttribute3"/>
          <w:rFonts w:ascii="Didot" w:eastAsia="Batang" w:hAnsi="Didot" w:cs="Didot"/>
          <w:sz w:val="22"/>
          <w:szCs w:val="22"/>
        </w:rPr>
        <w:t xml:space="preserve">Building on insights from Hannah Arendt, the basic assumption behind civil resistance as a method of conflict is that no oppressive system—be it a dictatorship, a foreign military occupation, or unjust economic system—is monolithic or permanent. Nor can any oppressive system survive without the cooperation and acquiescence of the people who reside in its pillars of support—the security forces, economic elites, civilian bureaucrats, state media, religious authorities, and educational elites. Many scholars and practitioners suggest that the main object of civil resistance is to use popular collective action to pull those pillars away from the powerholder so as to disrupt or collapse the oppressive system. Practitioners have also recognized this as a fundamental mechanism through which to confront oppression. </w:t>
      </w:r>
    </w:p>
    <w:p w14:paraId="7EB59A13" w14:textId="77777777" w:rsidR="00C33C84" w:rsidRPr="008B4D4B" w:rsidRDefault="00C33C84" w:rsidP="008A7E29">
      <w:pPr>
        <w:pStyle w:val="ParaAttribute0"/>
        <w:wordWrap/>
        <w:jc w:val="both"/>
        <w:rPr>
          <w:rFonts w:ascii="Didot" w:eastAsia="Times New Roman" w:hAnsi="Didot" w:cs="Didot"/>
          <w:sz w:val="22"/>
          <w:szCs w:val="22"/>
        </w:rPr>
      </w:pPr>
    </w:p>
    <w:p w14:paraId="17E4D54C" w14:textId="77777777" w:rsidR="00C33C84" w:rsidRPr="008B4D4B" w:rsidRDefault="00C33C84" w:rsidP="008A7E29">
      <w:pPr>
        <w:pStyle w:val="ParaAttribute0"/>
        <w:wordWrap/>
        <w:jc w:val="both"/>
        <w:rPr>
          <w:rFonts w:ascii="Didot" w:eastAsia="Times New Roman" w:hAnsi="Didot" w:cs="Didot"/>
          <w:sz w:val="22"/>
          <w:szCs w:val="22"/>
        </w:rPr>
      </w:pPr>
      <w:r w:rsidRPr="008B4D4B">
        <w:rPr>
          <w:rStyle w:val="CharAttribute3"/>
          <w:rFonts w:ascii="Didot" w:eastAsia="Batang" w:hAnsi="Didot" w:cs="Didot"/>
          <w:sz w:val="22"/>
          <w:szCs w:val="22"/>
        </w:rPr>
        <w:t xml:space="preserve">Crucially, our argument does not require the opponent to possess even a baseline level of morality. Opponents may be extremely brutal, prideful, self-concerned, and petty. We do not believe in benevolent dictators; if they think they can get away with murder, they will murder. But the morality of the adversary does not matter nearly as much as the ability of the resistance to dislocate, over-extend, and outmaneuver the opponent while eroding its political, economic, social and military sources of power using a broad range of tactics. </w:t>
      </w:r>
    </w:p>
    <w:p w14:paraId="40D78AF8" w14:textId="77777777" w:rsidR="00C33C84" w:rsidRPr="008B4D4B" w:rsidRDefault="00C33C84" w:rsidP="008A7E29">
      <w:pPr>
        <w:pStyle w:val="ParaAttribute0"/>
        <w:wordWrap/>
        <w:jc w:val="both"/>
        <w:rPr>
          <w:rFonts w:ascii="Didot" w:eastAsia="Times New Roman" w:hAnsi="Didot" w:cs="Didot"/>
          <w:sz w:val="22"/>
          <w:szCs w:val="22"/>
        </w:rPr>
      </w:pPr>
      <w:r w:rsidRPr="008B4D4B">
        <w:rPr>
          <w:rStyle w:val="CharAttribute3"/>
          <w:rFonts w:ascii="Didot" w:eastAsia="Batang" w:hAnsi="Didot" w:cs="Didot"/>
          <w:sz w:val="22"/>
          <w:szCs w:val="22"/>
        </w:rPr>
        <w:t xml:space="preserve"> </w:t>
      </w:r>
    </w:p>
    <w:p w14:paraId="27FB1513" w14:textId="77777777" w:rsidR="00C33C84" w:rsidRPr="008B4D4B" w:rsidRDefault="00C33C84" w:rsidP="008A7E29">
      <w:pPr>
        <w:pStyle w:val="ParaAttribute0"/>
        <w:wordWrap/>
        <w:jc w:val="both"/>
        <w:rPr>
          <w:rFonts w:ascii="Didot" w:eastAsia="Times New Roman" w:hAnsi="Didot" w:cs="Didot"/>
          <w:sz w:val="22"/>
          <w:szCs w:val="22"/>
        </w:rPr>
      </w:pPr>
      <w:r w:rsidRPr="008B4D4B">
        <w:rPr>
          <w:rStyle w:val="CharAttribute3"/>
          <w:rFonts w:ascii="Didot" w:eastAsia="Batang" w:hAnsi="Didot" w:cs="Didot"/>
          <w:sz w:val="22"/>
          <w:szCs w:val="22"/>
        </w:rPr>
        <w:t>In our study, the single most important factor influencing the success of a civil resistance campaign was participation. The larger and more diverse the campaign, the more likely it was to succeed.</w:t>
      </w:r>
      <w:r w:rsidRPr="008B4D4B">
        <w:rPr>
          <w:rFonts w:ascii="Didot" w:eastAsia="Times New Roman" w:hAnsi="Didot" w:cs="Didot"/>
          <w:sz w:val="22"/>
          <w:szCs w:val="22"/>
        </w:rPr>
        <w:t xml:space="preserve"> </w:t>
      </w:r>
      <w:r w:rsidRPr="008B4D4B">
        <w:rPr>
          <w:rStyle w:val="CharAttribute3"/>
          <w:rFonts w:ascii="Didot" w:eastAsia="Batang" w:hAnsi="Didot" w:cs="Didot"/>
          <w:sz w:val="22"/>
          <w:szCs w:val="22"/>
        </w:rPr>
        <w:t xml:space="preserve">Large campaigns are more likely to seriously disrupt the status quo, spread out the costs of repression, provoke defections within the pillars of support—and make powerholders pay attention. When large numbers of people engage in acts of non-cooperation and disruption, even the most brutal opponent has difficulty cracking down and sustaining the repression indefinitely. </w:t>
      </w:r>
    </w:p>
    <w:p w14:paraId="66645098" w14:textId="77777777" w:rsidR="00C33C84" w:rsidRPr="008B4D4B" w:rsidRDefault="00C33C84" w:rsidP="008A7E29">
      <w:pPr>
        <w:pStyle w:val="ParaAttribute0"/>
        <w:wordWrap/>
        <w:jc w:val="both"/>
        <w:rPr>
          <w:rFonts w:ascii="Didot" w:eastAsia="Times New Roman" w:hAnsi="Didot" w:cs="Didot"/>
          <w:sz w:val="22"/>
          <w:szCs w:val="22"/>
        </w:rPr>
      </w:pPr>
    </w:p>
    <w:p w14:paraId="3174B721" w14:textId="77777777" w:rsidR="00C33C84" w:rsidRPr="008B4D4B" w:rsidRDefault="00C33C84" w:rsidP="008A7E29">
      <w:pPr>
        <w:pStyle w:val="ParaAttribute0"/>
        <w:wordWrap/>
        <w:jc w:val="both"/>
        <w:rPr>
          <w:rStyle w:val="CharAttribute3"/>
          <w:rFonts w:ascii="Didot" w:eastAsia="Batang" w:hAnsi="Didot" w:cs="Didot"/>
          <w:sz w:val="22"/>
          <w:szCs w:val="22"/>
        </w:rPr>
      </w:pPr>
      <w:r w:rsidRPr="008B4D4B">
        <w:rPr>
          <w:rStyle w:val="CharAttribute3"/>
          <w:rFonts w:ascii="Didot" w:eastAsia="Batang" w:hAnsi="Didot" w:cs="Didot"/>
          <w:sz w:val="22"/>
          <w:szCs w:val="22"/>
        </w:rPr>
        <w:t>Diverse campaigns that include women, professionals, taxi drivers, religious figures and civil servants (versus mostly young, able-bodied men who receive training in explosives and hit-and-run attacks) are more likely to be broadly representative of the society, such that cracking down on the movement is more apt to backfire against the opponent.  It is much tougher (though not impossible) for regimes to get away with repression targeting civilians considered mainstream or even close to the regime’s social circles than it is to target armed insurgents with lethal force. In fact, we find that under conditions of violent repression, nonviolent campaigns succeeded 46% of the time, whereas violent ones only succeeded 20% of the time. After all, police and military forces can hardly be comfortable in a situation where they are asked to use violence against people who may include their children, cousins, accountants, or imams.</w:t>
      </w:r>
    </w:p>
    <w:p w14:paraId="65A233A5" w14:textId="77777777" w:rsidR="00C33C84" w:rsidRPr="008B4D4B" w:rsidRDefault="00C33C84" w:rsidP="008A7E29">
      <w:pPr>
        <w:pStyle w:val="ParaAttribute0"/>
        <w:wordWrap/>
        <w:jc w:val="both"/>
        <w:rPr>
          <w:rFonts w:ascii="Didot" w:hAnsi="Didot" w:cs="Didot"/>
          <w:sz w:val="22"/>
          <w:szCs w:val="22"/>
        </w:rPr>
      </w:pPr>
    </w:p>
    <w:p w14:paraId="1AA425CC" w14:textId="77777777" w:rsidR="00C33C84" w:rsidRPr="008B4D4B" w:rsidRDefault="00C33C84" w:rsidP="008A7E29">
      <w:pPr>
        <w:pStyle w:val="ParaAttribute0"/>
        <w:wordWrap/>
        <w:jc w:val="both"/>
        <w:rPr>
          <w:rStyle w:val="CharAttribute17"/>
          <w:rFonts w:ascii="Didot" w:eastAsia="Batang" w:hAnsi="Didot" w:cs="Didot"/>
          <w:color w:val="auto"/>
          <w:sz w:val="22"/>
          <w:szCs w:val="22"/>
        </w:rPr>
      </w:pPr>
      <w:r w:rsidRPr="008B4D4B">
        <w:rPr>
          <w:rFonts w:ascii="Didot" w:hAnsi="Didot" w:cs="Didot"/>
          <w:b/>
          <w:color w:val="070707"/>
          <w:sz w:val="22"/>
          <w:szCs w:val="22"/>
        </w:rPr>
        <w:t>IV.</w:t>
      </w:r>
      <w:r w:rsidRPr="008B4D4B">
        <w:rPr>
          <w:rFonts w:ascii="Didot" w:hAnsi="Didot" w:cs="Didot"/>
          <w:color w:val="070707"/>
          <w:sz w:val="22"/>
          <w:szCs w:val="22"/>
        </w:rPr>
        <w:t xml:space="preserve"> </w:t>
      </w:r>
      <w:r w:rsidRPr="008B4D4B">
        <w:rPr>
          <w:rStyle w:val="CharAttribute3"/>
          <w:rFonts w:ascii="Didot" w:eastAsia="Batang" w:hAnsi="Didot" w:cs="Didot"/>
          <w:sz w:val="22"/>
          <w:szCs w:val="22"/>
        </w:rPr>
        <w:t xml:space="preserve">With popular uprisings and violent conflicts waging worldwide, policymakers often seem at a loss when confronted with the question of how the international community can support civilians seeking to expand their rights and protect themselves from state violence—and in what form that support should come. </w:t>
      </w:r>
      <w:r w:rsidRPr="008B4D4B">
        <w:rPr>
          <w:rStyle w:val="CharAttribute17"/>
          <w:rFonts w:ascii="Didot" w:eastAsia="Batang" w:hAnsi="Didot" w:cs="Didot"/>
          <w:sz w:val="22"/>
          <w:szCs w:val="22"/>
        </w:rPr>
        <w:t xml:space="preserve">At the 2013 UN General Assembly meeting, President Barak Obama flagged the essential role that civil society has played in virtually every transformative social and political change around the world, from the anti-apartheid struggle in South Africa, to </w:t>
      </w:r>
      <w:r w:rsidRPr="008B4D4B">
        <w:rPr>
          <w:rStyle w:val="CharAttribute17"/>
          <w:rFonts w:ascii="Didot" w:eastAsia="Batang" w:hAnsi="Didot" w:cs="Didot"/>
          <w:sz w:val="22"/>
          <w:szCs w:val="22"/>
        </w:rPr>
        <w:lastRenderedPageBreak/>
        <w:t>bringing freedom to Eastern Europe, to the civil rights movement in the United States. The right of peaceful assembly and association, “[is] not a Western value</w:t>
      </w:r>
      <w:proofErr w:type="gramStart"/>
      <w:r w:rsidRPr="008B4D4B">
        <w:rPr>
          <w:rStyle w:val="CharAttribute17"/>
          <w:rFonts w:ascii="Didot" w:eastAsia="Batang" w:hAnsi="Didot" w:cs="Didot"/>
          <w:sz w:val="22"/>
          <w:szCs w:val="22"/>
        </w:rPr>
        <w:t>;</w:t>
      </w:r>
      <w:proofErr w:type="gramEnd"/>
      <w:r w:rsidRPr="008B4D4B">
        <w:rPr>
          <w:rStyle w:val="CharAttribute17"/>
          <w:rFonts w:ascii="Didot" w:eastAsia="Batang" w:hAnsi="Didot" w:cs="Didot"/>
          <w:sz w:val="22"/>
          <w:szCs w:val="22"/>
        </w:rPr>
        <w:t xml:space="preserve"> it is a universal right”, said Obama, who drew attention to the shrinking space for civil society in many parts of the world.  </w:t>
      </w:r>
    </w:p>
    <w:p w14:paraId="264AC952" w14:textId="77777777" w:rsidR="00C33C84" w:rsidRPr="008B4D4B" w:rsidRDefault="00C33C84" w:rsidP="008A7E29">
      <w:pPr>
        <w:pStyle w:val="ParaAttribute5"/>
        <w:wordWrap/>
        <w:jc w:val="both"/>
        <w:rPr>
          <w:rStyle w:val="CharAttribute17"/>
          <w:rFonts w:ascii="Didot" w:eastAsia="Batang" w:hAnsi="Didot" w:cs="Didot"/>
          <w:sz w:val="22"/>
          <w:szCs w:val="22"/>
        </w:rPr>
      </w:pPr>
    </w:p>
    <w:p w14:paraId="1E1A09D6" w14:textId="77777777" w:rsidR="00C33C84" w:rsidRPr="008B4D4B" w:rsidRDefault="00C33C84" w:rsidP="008A7E29">
      <w:pPr>
        <w:pStyle w:val="ParaAttribute5"/>
        <w:wordWrap/>
        <w:jc w:val="both"/>
        <w:rPr>
          <w:rFonts w:ascii="Didot" w:eastAsia="Times New Roman" w:hAnsi="Didot" w:cs="Didot"/>
          <w:color w:val="1A1A1A"/>
          <w:sz w:val="22"/>
          <w:szCs w:val="22"/>
        </w:rPr>
      </w:pPr>
      <w:r w:rsidRPr="008B4D4B">
        <w:rPr>
          <w:rStyle w:val="CharAttribute17"/>
          <w:rFonts w:ascii="Didot" w:eastAsia="Batang" w:hAnsi="Didot" w:cs="Didot"/>
          <w:sz w:val="22"/>
          <w:szCs w:val="22"/>
        </w:rPr>
        <w:t>Countries are passing laws designed specifically to suppress civil society, restricting NGO’s access to foreign funding, cracking down on communications technology and, in more extreme cases, arresting and using violence against journalists and nonviolent activists.  Obama called on governments to embrace civil society groups as partners and to coordinate diplomatic responses when governments try to stifle civil society. In a slightly edgier appeal, the U.S. President, whose civic organizing background is well-known, pressed governments and non-governmental actors to devise more innovative and effective ways to support civic groups and activists, notably in restrictive environments.</w:t>
      </w:r>
    </w:p>
    <w:p w14:paraId="67F80F50" w14:textId="77777777" w:rsidR="00C33C84" w:rsidRPr="008B4D4B" w:rsidRDefault="00C33C84" w:rsidP="008A7E29">
      <w:pPr>
        <w:pStyle w:val="ParaAttribute5"/>
        <w:wordWrap/>
        <w:jc w:val="both"/>
        <w:rPr>
          <w:rFonts w:ascii="Didot" w:eastAsia="Times New Roman" w:hAnsi="Didot" w:cs="Didot"/>
          <w:color w:val="1A1A1A"/>
          <w:sz w:val="22"/>
          <w:szCs w:val="22"/>
        </w:rPr>
      </w:pPr>
    </w:p>
    <w:p w14:paraId="32704F39" w14:textId="77777777" w:rsidR="00C33C84" w:rsidRPr="008B4D4B" w:rsidRDefault="00C33C84" w:rsidP="008A7E29">
      <w:pPr>
        <w:pStyle w:val="ParaAttribute0"/>
        <w:wordWrap/>
        <w:jc w:val="both"/>
        <w:rPr>
          <w:rStyle w:val="CharAttribute17"/>
          <w:rFonts w:ascii="Didot" w:eastAsia="Batang" w:hAnsi="Didot" w:cs="Didot"/>
          <w:sz w:val="22"/>
          <w:szCs w:val="22"/>
        </w:rPr>
      </w:pPr>
      <w:r w:rsidRPr="008B4D4B">
        <w:rPr>
          <w:rStyle w:val="CharAttribute17"/>
          <w:rFonts w:ascii="Didot" w:eastAsia="Batang" w:hAnsi="Didot" w:cs="Didot"/>
          <w:sz w:val="22"/>
          <w:szCs w:val="22"/>
        </w:rPr>
        <w:t xml:space="preserve">The initiative launched during last year’s UNGA, known as “Stand With Civil Society”, is an opportunity to take stock of various forms of external assistance (governmental, multi-lateral, non-governmental) to nonviolent civic groups and evaluate what is working and what is not. “Do no harm” should be an anchoring principle for this work – local civic actors are in the best position to determine whether, and which forms of aid are appropriate, and to evaluate the risks associated with external support. </w:t>
      </w:r>
    </w:p>
    <w:p w14:paraId="199C0B69" w14:textId="77777777" w:rsidR="00C33C84" w:rsidRPr="008B4D4B" w:rsidRDefault="00C33C84" w:rsidP="008A7E29">
      <w:pPr>
        <w:pStyle w:val="ParaAttribute0"/>
        <w:wordWrap/>
        <w:jc w:val="both"/>
        <w:rPr>
          <w:rStyle w:val="CharAttribute17"/>
          <w:rFonts w:ascii="Didot" w:eastAsia="Batang" w:hAnsi="Didot" w:cs="Didot"/>
          <w:sz w:val="22"/>
          <w:szCs w:val="22"/>
        </w:rPr>
      </w:pPr>
    </w:p>
    <w:p w14:paraId="126E7C7C" w14:textId="77777777" w:rsidR="00C33C84" w:rsidRPr="008B4D4B" w:rsidRDefault="00C33C84" w:rsidP="008A7E29">
      <w:pPr>
        <w:pStyle w:val="ParaAttribute0"/>
        <w:wordWrap/>
        <w:jc w:val="both"/>
        <w:rPr>
          <w:rStyle w:val="CharAttribute17"/>
          <w:rFonts w:ascii="Didot" w:eastAsia="Batang" w:hAnsi="Didot" w:cs="Didot"/>
          <w:b/>
          <w:sz w:val="22"/>
          <w:szCs w:val="22"/>
        </w:rPr>
      </w:pPr>
      <w:r w:rsidRPr="008B4D4B">
        <w:rPr>
          <w:rStyle w:val="CharAttribute17"/>
          <w:rFonts w:ascii="Didot" w:eastAsia="Batang" w:hAnsi="Didot" w:cs="Didot"/>
          <w:b/>
          <w:sz w:val="22"/>
          <w:szCs w:val="22"/>
        </w:rPr>
        <w:t xml:space="preserve">My first policy recommendation is for a non-governmental or multi-lateral entity to invest in a systematic study of the tools available to external actors to support nonviolent campaigns and movements – and to develop a framework for intervention that includes guiding principles.  </w:t>
      </w:r>
      <w:r w:rsidRPr="008B4D4B">
        <w:rPr>
          <w:rStyle w:val="CharAttribute17"/>
          <w:rFonts w:ascii="Didot" w:eastAsia="Batang" w:hAnsi="Didot" w:cs="Didot"/>
          <w:sz w:val="22"/>
          <w:szCs w:val="22"/>
        </w:rPr>
        <w:t xml:space="preserve">Such a study, to include short case studies, has not been undertaken and could improve policymakers’ understanding of the broad range of options available to support nonviolent transition processes. </w:t>
      </w:r>
    </w:p>
    <w:p w14:paraId="33AA6382" w14:textId="77777777" w:rsidR="00C33C84" w:rsidRPr="008B4D4B" w:rsidRDefault="00C33C84" w:rsidP="008A7E29">
      <w:pPr>
        <w:pStyle w:val="ParaAttribute0"/>
        <w:wordWrap/>
        <w:jc w:val="both"/>
        <w:rPr>
          <w:rStyle w:val="CharAttribute17"/>
          <w:rFonts w:ascii="Didot" w:eastAsia="Batang" w:hAnsi="Didot" w:cs="Didot"/>
          <w:sz w:val="22"/>
          <w:szCs w:val="22"/>
        </w:rPr>
      </w:pPr>
      <w:r w:rsidRPr="008B4D4B">
        <w:rPr>
          <w:rStyle w:val="CharAttribute17"/>
          <w:rFonts w:ascii="Didot" w:eastAsia="Batang" w:hAnsi="Didot" w:cs="Didot"/>
          <w:sz w:val="22"/>
          <w:szCs w:val="22"/>
        </w:rPr>
        <w:t xml:space="preserve"> </w:t>
      </w:r>
    </w:p>
    <w:p w14:paraId="2AB8507D" w14:textId="77777777" w:rsidR="00C33C84" w:rsidRPr="008B4D4B" w:rsidRDefault="00C33C84" w:rsidP="008A7E29">
      <w:pPr>
        <w:pStyle w:val="ParaAttribute0"/>
        <w:wordWrap/>
        <w:jc w:val="both"/>
        <w:rPr>
          <w:rStyle w:val="CharAttribute17"/>
          <w:rFonts w:ascii="Didot" w:eastAsia="Batang" w:hAnsi="Didot" w:cs="Didot"/>
          <w:sz w:val="22"/>
          <w:szCs w:val="22"/>
        </w:rPr>
      </w:pPr>
      <w:r w:rsidRPr="008B4D4B">
        <w:rPr>
          <w:rStyle w:val="CharAttribute17"/>
          <w:rFonts w:ascii="Didot" w:eastAsia="Batang" w:hAnsi="Didot" w:cs="Didot"/>
          <w:sz w:val="22"/>
          <w:szCs w:val="22"/>
        </w:rPr>
        <w:t xml:space="preserve">Non-state actors, including foundations, are generally able to disburse funds more quickly and with fewer strings attached to local community-based organizations, youth groups and media start-ups and are often better positioned than some governments to support nonviolent campaigns and movements. And these groups often have local legitimacy and a mobilization base unlike many donor-driven NGOs. </w:t>
      </w:r>
    </w:p>
    <w:p w14:paraId="7BF49237" w14:textId="77777777" w:rsidR="00C33C84" w:rsidRPr="008B4D4B" w:rsidRDefault="00C33C84" w:rsidP="008A7E29">
      <w:pPr>
        <w:pStyle w:val="ParaAttribute0"/>
        <w:wordWrap/>
        <w:jc w:val="both"/>
        <w:rPr>
          <w:rStyle w:val="CharAttribute17"/>
          <w:rFonts w:ascii="Didot" w:eastAsia="Batang" w:hAnsi="Didot" w:cs="Didot"/>
          <w:sz w:val="22"/>
          <w:szCs w:val="22"/>
        </w:rPr>
      </w:pPr>
    </w:p>
    <w:p w14:paraId="709A3AC5" w14:textId="77777777" w:rsidR="00C33C84" w:rsidRPr="008B4D4B" w:rsidRDefault="00C33C84" w:rsidP="008A7E29">
      <w:pPr>
        <w:pStyle w:val="ParaAttribute0"/>
        <w:wordWrap/>
        <w:jc w:val="both"/>
        <w:rPr>
          <w:rFonts w:ascii="Didot" w:hAnsi="Didot" w:cs="Didot"/>
          <w:b/>
          <w:color w:val="1A1A1A"/>
          <w:sz w:val="22"/>
          <w:szCs w:val="22"/>
        </w:rPr>
      </w:pPr>
      <w:r w:rsidRPr="008B4D4B">
        <w:rPr>
          <w:rStyle w:val="CharAttribute17"/>
          <w:rFonts w:ascii="Didot" w:eastAsia="Batang" w:hAnsi="Didot" w:cs="Didot"/>
          <w:b/>
          <w:sz w:val="22"/>
          <w:szCs w:val="22"/>
        </w:rPr>
        <w:t>My second recommendation is for the leading (</w:t>
      </w:r>
      <w:proofErr w:type="gramStart"/>
      <w:r w:rsidRPr="008B4D4B">
        <w:rPr>
          <w:rStyle w:val="CharAttribute17"/>
          <w:rFonts w:ascii="Didot" w:eastAsia="Batang" w:hAnsi="Didot" w:cs="Didot"/>
          <w:b/>
          <w:sz w:val="22"/>
          <w:szCs w:val="22"/>
        </w:rPr>
        <w:t>I)NGOs</w:t>
      </w:r>
      <w:proofErr w:type="gramEnd"/>
      <w:r w:rsidRPr="008B4D4B">
        <w:rPr>
          <w:rStyle w:val="CharAttribute17"/>
          <w:rFonts w:ascii="Didot" w:eastAsia="Batang" w:hAnsi="Didot" w:cs="Didot"/>
          <w:b/>
          <w:sz w:val="22"/>
          <w:szCs w:val="22"/>
        </w:rPr>
        <w:t xml:space="preserve"> and private foundations involved in supporting civic campaigns and movements to join forces and compile best (and worst) practices related to their interventions – and to develop virtual and off-line ways to disseminate those best practices.  </w:t>
      </w:r>
      <w:r w:rsidRPr="008B4D4B">
        <w:rPr>
          <w:rStyle w:val="CharAttribute17"/>
          <w:rFonts w:ascii="Didot" w:eastAsia="Batang" w:hAnsi="Didot" w:cs="Didot"/>
          <w:sz w:val="22"/>
          <w:szCs w:val="22"/>
        </w:rPr>
        <w:t xml:space="preserve">This will help position these non-governmental actors to better assist nonviolent activists in ways that are difficult or impossible for governmental actors. </w:t>
      </w:r>
    </w:p>
    <w:p w14:paraId="67CD7BE5" w14:textId="77777777" w:rsidR="00C33C84" w:rsidRPr="008B4D4B" w:rsidRDefault="00C33C84" w:rsidP="008A7E29">
      <w:pPr>
        <w:pStyle w:val="ParaAttribute5"/>
        <w:wordWrap/>
        <w:jc w:val="both"/>
        <w:rPr>
          <w:rFonts w:ascii="Didot" w:eastAsia="Times New Roman" w:hAnsi="Didot" w:cs="Didot"/>
          <w:color w:val="1A1A1A"/>
          <w:sz w:val="22"/>
          <w:szCs w:val="22"/>
        </w:rPr>
      </w:pPr>
      <w:r w:rsidRPr="008B4D4B">
        <w:rPr>
          <w:rStyle w:val="CharAttribute17"/>
          <w:rFonts w:ascii="Didot" w:eastAsia="Batang" w:hAnsi="Didot" w:cs="Didot"/>
          <w:sz w:val="22"/>
          <w:szCs w:val="22"/>
        </w:rPr>
        <w:t> </w:t>
      </w:r>
    </w:p>
    <w:p w14:paraId="5116E26C" w14:textId="77777777" w:rsidR="00C33C84" w:rsidRPr="008B4D4B" w:rsidRDefault="00C33C84" w:rsidP="008A7E29">
      <w:pPr>
        <w:pStyle w:val="ParaAttribute5"/>
        <w:wordWrap/>
        <w:jc w:val="both"/>
        <w:rPr>
          <w:rStyle w:val="CharAttribute17"/>
          <w:rFonts w:ascii="Didot" w:eastAsia="Batang" w:hAnsi="Didot" w:cs="Didot"/>
          <w:sz w:val="22"/>
          <w:szCs w:val="22"/>
        </w:rPr>
      </w:pPr>
      <w:r w:rsidRPr="008B4D4B">
        <w:rPr>
          <w:rStyle w:val="CharAttribute17"/>
          <w:rFonts w:ascii="Didot" w:eastAsia="Batang" w:hAnsi="Didot" w:cs="Didot"/>
          <w:sz w:val="22"/>
          <w:szCs w:val="22"/>
        </w:rPr>
        <w:t xml:space="preserve">Support to civil society by diplomats, development practitioners, and policymakers can take many forms: small, catalytic grants to civic actors, monitoring trials of political prisoners, engaging in solidarity actions to support the right of peaceful assembly, helping connect civil society to reform-minded government officials, providing alternative channels of information, targeting warnings to security officials who might be tempted to use lethal force against nonviolent protestors, </w:t>
      </w:r>
      <w:r w:rsidRPr="008B4D4B">
        <w:rPr>
          <w:rStyle w:val="CharAttribute17"/>
          <w:rFonts w:ascii="Didot" w:eastAsia="Batang" w:hAnsi="Didot" w:cs="Didot"/>
          <w:sz w:val="22"/>
          <w:szCs w:val="22"/>
        </w:rPr>
        <w:lastRenderedPageBreak/>
        <w:t xml:space="preserve">and supporting general capacity-building for civic groups and independent media are only a few. These and other “tools” available to diplomats, which range from low-risk to more pro-actively interventionist, are highlighted in the </w:t>
      </w:r>
      <w:r w:rsidRPr="008B4D4B">
        <w:rPr>
          <w:rStyle w:val="CharAttribute19"/>
          <w:rFonts w:ascii="Didot" w:eastAsia="Batang" w:hAnsi="Didot" w:cs="Didot"/>
          <w:sz w:val="22"/>
          <w:szCs w:val="22"/>
        </w:rPr>
        <w:t>Diplomat’s Handbook for Democratic Development Support</w:t>
      </w:r>
      <w:r w:rsidRPr="008B4D4B">
        <w:rPr>
          <w:rStyle w:val="FootnoteReference"/>
          <w:rFonts w:ascii="Didot" w:hAnsi="Didot" w:cs="Didot"/>
          <w:i/>
          <w:color w:val="1A1A1A"/>
          <w:sz w:val="22"/>
          <w:szCs w:val="22"/>
        </w:rPr>
        <w:footnoteReference w:id="22"/>
      </w:r>
      <w:r w:rsidRPr="008B4D4B">
        <w:rPr>
          <w:rStyle w:val="CharAttribute19"/>
          <w:rFonts w:ascii="Didot" w:eastAsia="Batang" w:hAnsi="Didot" w:cs="Didot"/>
          <w:sz w:val="22"/>
          <w:szCs w:val="22"/>
        </w:rPr>
        <w:t xml:space="preserve">, </w:t>
      </w:r>
      <w:r w:rsidRPr="008B4D4B">
        <w:rPr>
          <w:rStyle w:val="CharAttribute17"/>
          <w:rFonts w:ascii="Didot" w:eastAsia="Batang" w:hAnsi="Didot" w:cs="Didot"/>
          <w:sz w:val="22"/>
          <w:szCs w:val="22"/>
        </w:rPr>
        <w:t>a practical field guide that also includes over a dozen detailed case studies of effective (and non-effective) examples of external support to civil society and transitioning governments involving diplomats from democratic countries around the world. </w:t>
      </w:r>
    </w:p>
    <w:p w14:paraId="75F92817" w14:textId="77777777" w:rsidR="00C33C84" w:rsidRPr="008B4D4B" w:rsidRDefault="00C33C84" w:rsidP="008A7E29">
      <w:pPr>
        <w:pStyle w:val="ParaAttribute5"/>
        <w:wordWrap/>
        <w:jc w:val="both"/>
        <w:rPr>
          <w:rStyle w:val="CharAttribute17"/>
          <w:rFonts w:ascii="Didot" w:eastAsia="Batang" w:hAnsi="Didot" w:cs="Didot"/>
          <w:sz w:val="22"/>
          <w:szCs w:val="22"/>
        </w:rPr>
      </w:pPr>
    </w:p>
    <w:p w14:paraId="7283F8E8" w14:textId="77777777" w:rsidR="00C33C84" w:rsidRPr="008B4D4B" w:rsidRDefault="00C33C84" w:rsidP="008A7E29">
      <w:pPr>
        <w:pStyle w:val="ParaAttribute5"/>
        <w:wordWrap/>
        <w:jc w:val="both"/>
        <w:rPr>
          <w:rStyle w:val="CharAttribute17"/>
          <w:rFonts w:ascii="Didot" w:eastAsia="Batang" w:hAnsi="Didot" w:cs="Didot"/>
          <w:sz w:val="22"/>
          <w:szCs w:val="22"/>
        </w:rPr>
      </w:pPr>
      <w:r w:rsidRPr="008B4D4B">
        <w:rPr>
          <w:rStyle w:val="CharAttribute17"/>
          <w:rFonts w:ascii="Didot" w:eastAsia="Batang" w:hAnsi="Didot" w:cs="Didot"/>
          <w:sz w:val="22"/>
          <w:szCs w:val="22"/>
        </w:rPr>
        <w:t xml:space="preserve">A companion guide, </w:t>
      </w:r>
      <w:r w:rsidRPr="008B4D4B">
        <w:rPr>
          <w:rStyle w:val="CharAttribute17"/>
          <w:rFonts w:ascii="Didot" w:eastAsia="Batang" w:hAnsi="Didot" w:cs="Didot"/>
          <w:i/>
          <w:sz w:val="22"/>
          <w:szCs w:val="22"/>
        </w:rPr>
        <w:t>Military Engagement: Influencing Armed Forces Worldwide to Support Democratic Transitions</w:t>
      </w:r>
      <w:r w:rsidRPr="008B4D4B">
        <w:rPr>
          <w:rStyle w:val="FootnoteReference"/>
          <w:rFonts w:ascii="Didot" w:hAnsi="Didot" w:cs="Didot"/>
          <w:i/>
          <w:color w:val="1A1A1A"/>
          <w:sz w:val="22"/>
          <w:szCs w:val="22"/>
        </w:rPr>
        <w:footnoteReference w:id="23"/>
      </w:r>
      <w:r w:rsidRPr="008B4D4B">
        <w:rPr>
          <w:rStyle w:val="CharAttribute17"/>
          <w:rFonts w:ascii="Didot" w:eastAsia="Batang" w:hAnsi="Didot" w:cs="Didot"/>
          <w:i/>
          <w:sz w:val="22"/>
          <w:szCs w:val="22"/>
        </w:rPr>
        <w:t>,</w:t>
      </w:r>
      <w:r w:rsidRPr="008B4D4B">
        <w:rPr>
          <w:rStyle w:val="CharAttribute17"/>
          <w:rFonts w:ascii="Didot" w:eastAsia="Batang" w:hAnsi="Didot" w:cs="Didot"/>
          <w:sz w:val="22"/>
          <w:szCs w:val="22"/>
        </w:rPr>
        <w:t xml:space="preserve"> shows how the armed forces from democratic countries can positively influence the behaviors of security forces in nom-democratic and transitioning countries.  </w:t>
      </w:r>
    </w:p>
    <w:p w14:paraId="4BF0D48A" w14:textId="77777777" w:rsidR="00C33C84" w:rsidRPr="008B4D4B" w:rsidRDefault="00C33C84" w:rsidP="008A7E29">
      <w:pPr>
        <w:pStyle w:val="ParaAttribute5"/>
        <w:wordWrap/>
        <w:jc w:val="both"/>
        <w:rPr>
          <w:rStyle w:val="CharAttribute17"/>
          <w:rFonts w:ascii="Didot" w:eastAsia="Batang" w:hAnsi="Didot" w:cs="Didot"/>
          <w:sz w:val="22"/>
          <w:szCs w:val="22"/>
        </w:rPr>
      </w:pPr>
    </w:p>
    <w:p w14:paraId="7116A080" w14:textId="77777777" w:rsidR="00C33C84" w:rsidRPr="008B4D4B" w:rsidRDefault="00C33C84" w:rsidP="008A7E29">
      <w:pPr>
        <w:pStyle w:val="ParaAttribute5"/>
        <w:wordWrap/>
        <w:jc w:val="both"/>
        <w:rPr>
          <w:rFonts w:ascii="Didot" w:hAnsi="Didot" w:cs="Didot"/>
          <w:b/>
          <w:color w:val="1A1A1A"/>
          <w:sz w:val="22"/>
          <w:szCs w:val="22"/>
        </w:rPr>
      </w:pPr>
      <w:r w:rsidRPr="008B4D4B">
        <w:rPr>
          <w:rStyle w:val="CharAttribute17"/>
          <w:rFonts w:ascii="Didot" w:eastAsia="Batang" w:hAnsi="Didot" w:cs="Didot"/>
          <w:b/>
          <w:sz w:val="22"/>
          <w:szCs w:val="22"/>
        </w:rPr>
        <w:t xml:space="preserve">My third and fourth policy recommendations are that the UN or another multilateral actor (like the Community of Democracies) fund the marketing of these practical training tools and invest in the production of animating short videos featuring interviews with diplomats, military officers, and civic leaders featured in the handbooks.  </w:t>
      </w:r>
      <w:r w:rsidRPr="008B4D4B">
        <w:rPr>
          <w:rStyle w:val="CharAttribute17"/>
          <w:rFonts w:ascii="Didot" w:eastAsia="Batang" w:hAnsi="Didot" w:cs="Didot"/>
          <w:sz w:val="22"/>
          <w:szCs w:val="22"/>
        </w:rPr>
        <w:t xml:space="preserve">Such an investment in these educational tools, which could be used in diplomatic and military academies around the world, could significantly improve the practice of governmental actors vis-à-vis repressive regimes and nonviolent civil campaigns and movements.   </w:t>
      </w:r>
    </w:p>
    <w:p w14:paraId="0C183DB2" w14:textId="77777777" w:rsidR="00C33C84" w:rsidRPr="008B4D4B" w:rsidRDefault="00C33C84" w:rsidP="008A7E29">
      <w:pPr>
        <w:pStyle w:val="ParaAttribute5"/>
        <w:wordWrap/>
        <w:jc w:val="both"/>
        <w:rPr>
          <w:rFonts w:ascii="Didot" w:eastAsia="Times New Roman" w:hAnsi="Didot" w:cs="Didot"/>
          <w:color w:val="1A1A1A"/>
          <w:sz w:val="22"/>
          <w:szCs w:val="22"/>
        </w:rPr>
      </w:pPr>
      <w:r w:rsidRPr="008B4D4B">
        <w:rPr>
          <w:rStyle w:val="CharAttribute17"/>
          <w:rFonts w:ascii="Didot" w:eastAsia="Batang" w:hAnsi="Didot" w:cs="Didot"/>
          <w:sz w:val="22"/>
          <w:szCs w:val="22"/>
        </w:rPr>
        <w:t> </w:t>
      </w:r>
    </w:p>
    <w:p w14:paraId="19039E6C" w14:textId="77777777" w:rsidR="00C33C84" w:rsidRPr="008B4D4B" w:rsidRDefault="00C33C84" w:rsidP="008A7E29">
      <w:pPr>
        <w:pStyle w:val="ParaAttribute5"/>
        <w:wordWrap/>
        <w:jc w:val="both"/>
        <w:rPr>
          <w:rFonts w:ascii="Didot" w:eastAsia="Times New Roman" w:hAnsi="Didot" w:cs="Didot"/>
          <w:color w:val="1A1A1A"/>
          <w:sz w:val="22"/>
          <w:szCs w:val="22"/>
        </w:rPr>
      </w:pPr>
      <w:r w:rsidRPr="008B4D4B">
        <w:rPr>
          <w:rStyle w:val="CharAttribute17"/>
          <w:rFonts w:ascii="Didot" w:eastAsia="Batang" w:hAnsi="Didot" w:cs="Didot"/>
          <w:sz w:val="22"/>
          <w:szCs w:val="22"/>
        </w:rPr>
        <w:t>Strengthening civil society is not only a precondition for sustained democratic development. It is also a way to buffer civilians from the worst excesses of violence originating from regime and non-state armed actors. Policymakers focused on atrocities prevention and the “responsibility to protect” doctrine should take note. As Erica Chenoweth’s and my research has shown, civilian casualties may be far fewer in cases where opposition actors opt for active nonviolent resistance – versus armed struggle or mixed approaches – to challenge repressive regimes and foreign occupations. While it is naïve to assume that regimes will refrain from the use of massive violence against nonviolent protestors – Ukraine 2014, Syria 2011, and Iran 2009 are only the most recent cases of regimes’ demonstrated willingness to gun down peaceful challengers – the data nevertheless suggests that helping civic groups maintain nonviolent discipline in these difficult environments, and familiarizing them with the broad spectrum of nonviolent “weapons” they can use to mobilize around repression, is a way to insulate them from the most extreme forms of violence.</w:t>
      </w:r>
    </w:p>
    <w:p w14:paraId="3AE15706" w14:textId="77777777" w:rsidR="00C33C84" w:rsidRPr="008B4D4B" w:rsidRDefault="00C33C84" w:rsidP="008A7E29">
      <w:pPr>
        <w:pStyle w:val="ParaAttribute5"/>
        <w:wordWrap/>
        <w:jc w:val="both"/>
        <w:rPr>
          <w:rFonts w:ascii="Didot" w:eastAsia="Times New Roman" w:hAnsi="Didot" w:cs="Didot"/>
          <w:color w:val="1A1A1A"/>
          <w:sz w:val="22"/>
          <w:szCs w:val="22"/>
        </w:rPr>
      </w:pPr>
      <w:r w:rsidRPr="008B4D4B">
        <w:rPr>
          <w:rStyle w:val="CharAttribute17"/>
          <w:rFonts w:ascii="Didot" w:eastAsia="Batang" w:hAnsi="Didot" w:cs="Didot"/>
          <w:sz w:val="22"/>
          <w:szCs w:val="22"/>
        </w:rPr>
        <w:t> </w:t>
      </w:r>
    </w:p>
    <w:p w14:paraId="4EEFC4BB" w14:textId="71D44716" w:rsidR="00C33C84" w:rsidRPr="008B4D4B" w:rsidRDefault="00C33C84" w:rsidP="008A7E29">
      <w:pPr>
        <w:jc w:val="both"/>
        <w:rPr>
          <w:rFonts w:ascii="Didot" w:hAnsi="Didot" w:cs="Didot"/>
          <w:color w:val="121212"/>
          <w:sz w:val="22"/>
          <w:szCs w:val="22"/>
          <w:lang w:val="en-US"/>
        </w:rPr>
        <w:sectPr w:rsidR="00C33C84" w:rsidRPr="008B4D4B" w:rsidSect="00160E26">
          <w:type w:val="continuous"/>
          <w:pgSz w:w="11900" w:h="16840"/>
          <w:pgMar w:top="1440" w:right="1800" w:bottom="1440" w:left="1800" w:header="708" w:footer="708" w:gutter="0"/>
          <w:pgNumType w:start="1"/>
          <w:cols w:space="708"/>
          <w:docGrid w:linePitch="360"/>
        </w:sectPr>
      </w:pPr>
      <w:r w:rsidRPr="008B4D4B">
        <w:rPr>
          <w:rStyle w:val="CharAttribute17"/>
          <w:rFonts w:ascii="Didot" w:eastAsia="Batang" w:hAnsi="Didot" w:cs="Didot"/>
          <w:b/>
          <w:sz w:val="22"/>
          <w:szCs w:val="22"/>
        </w:rPr>
        <w:t>My fifth and final policy recommendation is</w:t>
      </w:r>
      <w:r w:rsidRPr="008B4D4B">
        <w:rPr>
          <w:rStyle w:val="CharAttribute17"/>
          <w:rFonts w:ascii="Didot" w:eastAsia="Batang" w:hAnsi="Didot" w:cs="Didot"/>
          <w:sz w:val="22"/>
          <w:szCs w:val="22"/>
        </w:rPr>
        <w:t xml:space="preserve"> </w:t>
      </w:r>
      <w:r w:rsidRPr="008B4D4B">
        <w:rPr>
          <w:rStyle w:val="CharAttribute17"/>
          <w:rFonts w:ascii="Didot" w:eastAsia="Batang" w:hAnsi="Didot" w:cs="Didot"/>
          <w:b/>
          <w:sz w:val="22"/>
          <w:szCs w:val="22"/>
        </w:rPr>
        <w:t xml:space="preserve">for a coalition of international actors – with the strong involvement of global civil society organizations (CIVICUS, World Movement for Democracy) - to support a normative conversation about the “responsibility to assist” nonviolent activists and civic groups </w:t>
      </w:r>
      <w:r w:rsidRPr="008B4D4B">
        <w:rPr>
          <w:rStyle w:val="CharAttribute17"/>
          <w:rFonts w:ascii="Didot" w:eastAsia="Batang" w:hAnsi="Didot" w:cs="Didot"/>
          <w:sz w:val="22"/>
          <w:szCs w:val="22"/>
        </w:rPr>
        <w:t xml:space="preserve">before “protecting” civilians, including via military force, becomes a moral imperative that may or may not result in any concerted international action.  It is incumbent upon the international community to respond meaningfully, and in a </w:t>
      </w:r>
      <w:r w:rsidRPr="008B4D4B">
        <w:rPr>
          <w:rStyle w:val="CharAttribute17"/>
          <w:rFonts w:ascii="Didot" w:eastAsia="Batang" w:hAnsi="Didot" w:cs="Didot"/>
          <w:sz w:val="22"/>
          <w:szCs w:val="22"/>
        </w:rPr>
        <w:lastRenderedPageBreak/>
        <w:t>coordinated way, to governments who insist on sovereign inviolability when they unleash mass violence on domestic nonviolent dissenters.  Such a conversation should include a sober assessment of the limitations of sovereignty in such cases, and offer guidance for external actors grounded in international law about what types of support, when, and for which actors is both allowed and encouraged.</w:t>
      </w:r>
    </w:p>
    <w:p w14:paraId="534C4EEE" w14:textId="77777777" w:rsidR="001859F4" w:rsidRPr="006916FC" w:rsidRDefault="001859F4" w:rsidP="008A7E29">
      <w:pPr>
        <w:pBdr>
          <w:bottom w:val="single" w:sz="6" w:space="1" w:color="auto"/>
        </w:pBdr>
        <w:jc w:val="both"/>
        <w:rPr>
          <w:rFonts w:ascii="Didot" w:hAnsi="Didot" w:cs="Didot"/>
          <w:color w:val="121212"/>
          <w:lang w:val="en-US"/>
        </w:rPr>
      </w:pPr>
    </w:p>
    <w:p w14:paraId="58444CE6" w14:textId="77777777" w:rsidR="002B35BA" w:rsidRPr="006916FC" w:rsidRDefault="002B35BA" w:rsidP="008A7E29">
      <w:pPr>
        <w:widowControl w:val="0"/>
        <w:autoSpaceDE w:val="0"/>
        <w:autoSpaceDN w:val="0"/>
        <w:adjustRightInd w:val="0"/>
        <w:spacing w:after="240"/>
        <w:jc w:val="both"/>
        <w:rPr>
          <w:rFonts w:ascii="Didot" w:eastAsia="Times New Roman" w:hAnsi="Didot" w:cs="Didot"/>
          <w:b/>
          <w:color w:val="000000"/>
          <w:sz w:val="28"/>
          <w:szCs w:val="28"/>
        </w:rPr>
      </w:pPr>
    </w:p>
    <w:p w14:paraId="4505BEF9" w14:textId="761EDB62" w:rsidR="00540C57" w:rsidRPr="006916FC" w:rsidRDefault="00540C57" w:rsidP="008A7E29">
      <w:pPr>
        <w:pStyle w:val="ParaAttribute0"/>
        <w:wordWrap/>
        <w:jc w:val="both"/>
        <w:rPr>
          <w:rFonts w:ascii="Didot" w:hAnsi="Didot" w:cs="Didot"/>
          <w:b/>
          <w:color w:val="1A1A1A"/>
          <w:sz w:val="22"/>
          <w:szCs w:val="22"/>
        </w:rPr>
      </w:pPr>
      <w:r w:rsidRPr="006916FC">
        <w:rPr>
          <w:rStyle w:val="CharAttribute17"/>
          <w:rFonts w:ascii="Didot" w:eastAsia="Batang" w:hAnsi="Didot" w:cs="Didot"/>
          <w:sz w:val="22"/>
          <w:szCs w:val="22"/>
        </w:rPr>
        <w:t xml:space="preserve"> </w:t>
      </w:r>
    </w:p>
    <w:p w14:paraId="087C2F2D" w14:textId="77777777" w:rsidR="00160E26" w:rsidRPr="006916FC" w:rsidRDefault="00160E26" w:rsidP="008A7E29">
      <w:pPr>
        <w:widowControl w:val="0"/>
        <w:autoSpaceDE w:val="0"/>
        <w:autoSpaceDN w:val="0"/>
        <w:adjustRightInd w:val="0"/>
        <w:spacing w:after="280"/>
        <w:jc w:val="both"/>
        <w:rPr>
          <w:rFonts w:ascii="Didot" w:hAnsi="Didot" w:cs="Didot"/>
          <w:b/>
          <w:bCs/>
        </w:rPr>
        <w:sectPr w:rsidR="00160E26" w:rsidRPr="006916FC" w:rsidSect="00160E26">
          <w:type w:val="continuous"/>
          <w:pgSz w:w="11900" w:h="16840"/>
          <w:pgMar w:top="1440" w:right="1800" w:bottom="1440" w:left="1800" w:header="708" w:footer="708" w:gutter="0"/>
          <w:pgNumType w:start="1"/>
          <w:cols w:space="708"/>
          <w:docGrid w:linePitch="360"/>
        </w:sectPr>
      </w:pPr>
    </w:p>
    <w:p w14:paraId="1F2A8739" w14:textId="77777777" w:rsidR="00540C57" w:rsidRPr="006916FC" w:rsidRDefault="00540C57" w:rsidP="008A7E29">
      <w:pPr>
        <w:widowControl w:val="0"/>
        <w:autoSpaceDE w:val="0"/>
        <w:autoSpaceDN w:val="0"/>
        <w:adjustRightInd w:val="0"/>
        <w:spacing w:after="280"/>
        <w:jc w:val="both"/>
        <w:rPr>
          <w:rFonts w:ascii="Didot" w:hAnsi="Didot" w:cs="Didot"/>
          <w:b/>
          <w:bCs/>
        </w:rPr>
      </w:pPr>
    </w:p>
    <w:p w14:paraId="3D926030" w14:textId="77777777" w:rsidR="00540C57" w:rsidRPr="006916FC" w:rsidRDefault="00540C57" w:rsidP="008A7E29">
      <w:pPr>
        <w:jc w:val="both"/>
        <w:rPr>
          <w:rFonts w:ascii="Didot" w:hAnsi="Didot" w:cs="Didot"/>
        </w:rPr>
      </w:pPr>
    </w:p>
    <w:p w14:paraId="3380DA0B" w14:textId="77777777" w:rsidR="00540C57" w:rsidRPr="006916FC" w:rsidRDefault="00540C57" w:rsidP="008A7E29">
      <w:pPr>
        <w:widowControl w:val="0"/>
        <w:autoSpaceDE w:val="0"/>
        <w:autoSpaceDN w:val="0"/>
        <w:adjustRightInd w:val="0"/>
        <w:spacing w:after="240"/>
        <w:jc w:val="both"/>
        <w:rPr>
          <w:rFonts w:ascii="Didot" w:hAnsi="Didot" w:cs="Didot"/>
          <w:color w:val="121212"/>
          <w:lang w:val="en-US"/>
        </w:rPr>
      </w:pPr>
    </w:p>
    <w:p w14:paraId="7139B235"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4D768FC4"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58763D6D"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4B1F55AA"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0C263726"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311E5EDC"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7529DE48"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6241717B"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03AB694F"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61F3A535" w14:textId="77777777" w:rsidR="003B1279" w:rsidRPr="006916FC" w:rsidRDefault="003B1279" w:rsidP="008A7E29">
      <w:pPr>
        <w:widowControl w:val="0"/>
        <w:autoSpaceDE w:val="0"/>
        <w:autoSpaceDN w:val="0"/>
        <w:adjustRightInd w:val="0"/>
        <w:spacing w:after="240"/>
        <w:jc w:val="both"/>
        <w:rPr>
          <w:rFonts w:ascii="Didot" w:hAnsi="Didot" w:cs="Didot"/>
          <w:color w:val="121212"/>
          <w:lang w:val="en-US"/>
        </w:rPr>
      </w:pPr>
    </w:p>
    <w:p w14:paraId="61124AFA" w14:textId="0EA51CD5" w:rsidR="003B1279" w:rsidRPr="006916FC" w:rsidRDefault="00F6607E" w:rsidP="008A7E29">
      <w:pPr>
        <w:pStyle w:val="Heading1"/>
        <w:rPr>
          <w:sz w:val="34"/>
          <w:szCs w:val="34"/>
        </w:rPr>
      </w:pPr>
      <w:r w:rsidRPr="006916FC">
        <w:br w:type="column"/>
      </w:r>
      <w:r w:rsidR="001859F4" w:rsidRPr="006916FC">
        <w:lastRenderedPageBreak/>
        <w:br w:type="column"/>
      </w:r>
      <w:bookmarkStart w:id="57" w:name="_Toc272639911"/>
      <w:bookmarkStart w:id="58" w:name="_Toc272645034"/>
      <w:r w:rsidR="003B1279" w:rsidRPr="006916FC">
        <w:rPr>
          <w:sz w:val="34"/>
          <w:szCs w:val="34"/>
        </w:rPr>
        <w:lastRenderedPageBreak/>
        <w:t>Session 6</w:t>
      </w:r>
      <w:bookmarkEnd w:id="57"/>
      <w:bookmarkEnd w:id="58"/>
      <w:r w:rsidR="003B1279" w:rsidRPr="006916FC">
        <w:rPr>
          <w:sz w:val="34"/>
          <w:szCs w:val="34"/>
        </w:rPr>
        <w:t xml:space="preserve"> </w:t>
      </w:r>
    </w:p>
    <w:p w14:paraId="15D348FE" w14:textId="77777777" w:rsidR="00AC06AD" w:rsidRPr="006916FC" w:rsidRDefault="00AC06AD" w:rsidP="008A7E29">
      <w:pPr>
        <w:pStyle w:val="Heading1"/>
      </w:pPr>
      <w:bookmarkStart w:id="59" w:name="_Toc272639912"/>
      <w:bookmarkStart w:id="60" w:name="_Toc272645035"/>
      <w:r w:rsidRPr="006916FC">
        <w:t>Reducing Organised Forms of Violence</w:t>
      </w:r>
      <w:bookmarkEnd w:id="59"/>
      <w:bookmarkEnd w:id="60"/>
    </w:p>
    <w:p w14:paraId="47483943"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65A3E886" w14:textId="77777777" w:rsidR="00F11129" w:rsidRPr="006916FC" w:rsidRDefault="00AC06AD"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John Lawrence Aber - New York University, Professor of Applied Psychology at the Steinhardt School of Culture, Education and Human Development</w:t>
      </w:r>
    </w:p>
    <w:p w14:paraId="38C98ACB"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5C1C5BFB" w14:textId="77777777" w:rsidR="00F11129" w:rsidRPr="006916FC" w:rsidRDefault="00F11129" w:rsidP="008A7E29">
      <w:pPr>
        <w:widowControl w:val="0"/>
        <w:autoSpaceDE w:val="0"/>
        <w:autoSpaceDN w:val="0"/>
        <w:adjustRightInd w:val="0"/>
        <w:spacing w:after="240"/>
        <w:jc w:val="both"/>
        <w:rPr>
          <w:rFonts w:ascii="Didot" w:hAnsi="Didot" w:cs="Didot"/>
          <w:b/>
          <w:bCs/>
          <w:color w:val="121212"/>
          <w:lang w:val="en-US"/>
        </w:rPr>
      </w:pPr>
    </w:p>
    <w:p w14:paraId="5A210739" w14:textId="77777777" w:rsidR="00F6607E" w:rsidRPr="008B4D4B" w:rsidRDefault="00AC06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Violence is highly concentrated globally, nationally, and locally. In violence hot spots effective strategies usually must address forms of organized violence committed in groups as well as the side effects of poor governance such as police corruption. The speakers of this session will identify the global hot spots of violence and the specific challenges to intervening in these areas. They will also present specific approaches that have been found to be effective in some areas of the </w:t>
      </w:r>
      <w:r w:rsidR="00F6607E" w:rsidRPr="008B4D4B">
        <w:rPr>
          <w:rFonts w:ascii="Didot" w:hAnsi="Didot" w:cs="Didot"/>
          <w:color w:val="121212"/>
          <w:sz w:val="22"/>
          <w:szCs w:val="22"/>
          <w:lang w:val="en-US"/>
        </w:rPr>
        <w:t>world.</w:t>
      </w:r>
    </w:p>
    <w:p w14:paraId="7F962B7B"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05799C02" w14:textId="07BFA86F" w:rsidR="00F6607E" w:rsidRPr="006916FC" w:rsidRDefault="00F6607E" w:rsidP="008A7E29">
      <w:pPr>
        <w:pStyle w:val="Heading2"/>
        <w:jc w:val="both"/>
        <w:rPr>
          <w:rFonts w:ascii="Didot" w:hAnsi="Didot" w:cs="Didot"/>
          <w:color w:val="auto"/>
          <w:sz w:val="34"/>
          <w:szCs w:val="34"/>
        </w:rPr>
      </w:pPr>
      <w:bookmarkStart w:id="61" w:name="_Toc272639913"/>
      <w:bookmarkStart w:id="62" w:name="_Toc272645036"/>
      <w:r w:rsidRPr="006916FC">
        <w:rPr>
          <w:rFonts w:ascii="Didot" w:hAnsi="Didot" w:cs="Didot"/>
          <w:color w:val="auto"/>
          <w:sz w:val="34"/>
          <w:szCs w:val="34"/>
        </w:rPr>
        <w:t>Susanne Karstedt</w:t>
      </w:r>
      <w:bookmarkEnd w:id="61"/>
      <w:bookmarkEnd w:id="62"/>
    </w:p>
    <w:p w14:paraId="7F3B4C1D" w14:textId="77777777" w:rsidR="00C33C84" w:rsidRPr="006916FC" w:rsidRDefault="00C33C84" w:rsidP="008A7E29">
      <w:pPr>
        <w:widowControl w:val="0"/>
        <w:autoSpaceDE w:val="0"/>
        <w:autoSpaceDN w:val="0"/>
        <w:adjustRightInd w:val="0"/>
        <w:spacing w:after="240"/>
        <w:jc w:val="both"/>
        <w:rPr>
          <w:rFonts w:ascii="Didot" w:hAnsi="Didot" w:cs="Didot"/>
          <w:b/>
          <w:color w:val="121212"/>
          <w:lang w:val="en-US"/>
        </w:rPr>
      </w:pPr>
    </w:p>
    <w:p w14:paraId="65D76280" w14:textId="77777777" w:rsidR="00AC06AD" w:rsidRPr="006916FC" w:rsidRDefault="00AC06AD"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Biography</w:t>
      </w:r>
    </w:p>
    <w:p w14:paraId="12EAB8F8" w14:textId="77777777" w:rsidR="00AC06AD" w:rsidRPr="008B4D4B" w:rsidRDefault="00AC06AD"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Professor Karstedt's research interests focus on cross-national and cross-cultural comparative perspectives in criminology, and comprise mass atrocity crimes, state crimes, and international and transitional justice. In the area of international and comparative studies of crime and justice her research explores the role of democratic values, institutions and culture for patterns and levels of crime and criminal justice. Of particular interest are democracy's comparative advantages or disadvantages relating to violence, corruption, or state crime, as well as to imprisonment and prison conditions, and legitimacy of criminal justice institutions. Her other major areas of research are international and transitional justice, with a focus on public opinion, emotions, and perpetrators and victims in post-war Germany. Presently she is researching the micro- and macro-dynamics of events of mass atrocities, within the context of 'extremely violent societies'.  To this purpose she has created and is working with a global Index of Violent Societies.</w:t>
      </w:r>
    </w:p>
    <w:p w14:paraId="48C6F55C" w14:textId="77777777" w:rsidR="00F6607E" w:rsidRPr="006916FC" w:rsidRDefault="00F6607E"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p>
    <w:p w14:paraId="65B6A55F" w14:textId="77777777" w:rsidR="00F6607E" w:rsidRPr="006916FC" w:rsidRDefault="00F6607E" w:rsidP="008A7E29">
      <w:pPr>
        <w:widowControl w:val="0"/>
        <w:autoSpaceDE w:val="0"/>
        <w:autoSpaceDN w:val="0"/>
        <w:adjustRightInd w:val="0"/>
        <w:spacing w:after="240"/>
        <w:jc w:val="both"/>
        <w:rPr>
          <w:rFonts w:ascii="Didot" w:hAnsi="Didot" w:cs="Didot"/>
          <w:color w:val="121212"/>
          <w:sz w:val="22"/>
          <w:szCs w:val="22"/>
          <w:lang w:val="en-US"/>
        </w:rPr>
      </w:pPr>
    </w:p>
    <w:p w14:paraId="51C6CE38" w14:textId="77777777" w:rsidR="00AC06AD" w:rsidRPr="006916FC" w:rsidRDefault="00AC06AD"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42503C10" w14:textId="42204A36" w:rsidR="00B86B1F" w:rsidRPr="006916FC" w:rsidRDefault="00B86B1F"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Global Hotspots of Violence: How to Focus Intervenion and Prevention</w:t>
      </w:r>
    </w:p>
    <w:p w14:paraId="52E22929" w14:textId="77777777" w:rsidR="005A1339" w:rsidRPr="008B4D4B" w:rsidRDefault="005A1339" w:rsidP="008A7E29">
      <w:pPr>
        <w:jc w:val="both"/>
        <w:rPr>
          <w:rFonts w:ascii="Didot" w:hAnsi="Didot" w:cs="Didot"/>
          <w:sz w:val="22"/>
          <w:szCs w:val="22"/>
        </w:rPr>
      </w:pPr>
      <w:r w:rsidRPr="008B4D4B">
        <w:rPr>
          <w:rFonts w:ascii="Didot" w:hAnsi="Didot" w:cs="Didot"/>
          <w:sz w:val="22"/>
          <w:szCs w:val="22"/>
          <w:lang w:val="en-GB"/>
        </w:rPr>
        <w:t>Collective and organized violence has been the most lethal violence across the past decades with millions of victims, with the state and governments as the most prominent perpetrator of massive violence.</w:t>
      </w:r>
      <w:r w:rsidRPr="008B4D4B">
        <w:rPr>
          <w:rFonts w:ascii="Didot" w:hAnsi="Didot" w:cs="Didot"/>
          <w:sz w:val="22"/>
          <w:szCs w:val="22"/>
          <w:lang w:eastAsia="ja-JP"/>
        </w:rPr>
        <w:t xml:space="preserve"> The </w:t>
      </w:r>
      <w:r w:rsidRPr="008B4D4B">
        <w:rPr>
          <w:rFonts w:ascii="Didot" w:hAnsi="Didot" w:cs="Didot"/>
          <w:sz w:val="22"/>
          <w:szCs w:val="22"/>
        </w:rPr>
        <w:t>face of organized violence and the groups of actors involved have changed considerably. Collective violence became “multi-polar”. Different groups became victims of massive attacks of physical violence, and diverse groups of perpetrators participate for a multitude of reasons. Campaigns of massive and targeted violence victimize successive groups in waves.</w:t>
      </w:r>
      <w:r w:rsidRPr="008B4D4B">
        <w:rPr>
          <w:rFonts w:ascii="Didot" w:hAnsi="Didot" w:cs="Didot"/>
          <w:sz w:val="22"/>
          <w:szCs w:val="22"/>
          <w:lang w:eastAsia="ja-JP"/>
        </w:rPr>
        <w:t xml:space="preserve"> </w:t>
      </w:r>
      <w:r w:rsidRPr="008B4D4B">
        <w:rPr>
          <w:rFonts w:ascii="Didot" w:hAnsi="Didot" w:cs="Didot"/>
          <w:sz w:val="22"/>
          <w:szCs w:val="22"/>
        </w:rPr>
        <w:t xml:space="preserve">Organized and collective violence coalesce with interpersonal violence. These are exactly the “Complex emergencies” that the WHO has identified in its 2002 “World Report on Violence and Health” within the context of collective violence. </w:t>
      </w:r>
    </w:p>
    <w:p w14:paraId="4951FC89" w14:textId="77777777" w:rsidR="005A1339" w:rsidRPr="008B4D4B" w:rsidRDefault="005A1339" w:rsidP="008A7E29">
      <w:pPr>
        <w:jc w:val="both"/>
        <w:rPr>
          <w:rFonts w:ascii="Didot" w:hAnsi="Didot" w:cs="Didot"/>
          <w:sz w:val="22"/>
          <w:szCs w:val="22"/>
        </w:rPr>
      </w:pPr>
    </w:p>
    <w:p w14:paraId="6951EA29" w14:textId="77777777" w:rsidR="005A1339" w:rsidRPr="008B4D4B" w:rsidRDefault="005A1339" w:rsidP="008A7E29">
      <w:pPr>
        <w:jc w:val="both"/>
        <w:rPr>
          <w:rFonts w:ascii="Didot" w:hAnsi="Didot" w:cs="Didot"/>
          <w:sz w:val="22"/>
          <w:szCs w:val="22"/>
          <w:lang w:val="en-GB"/>
        </w:rPr>
      </w:pPr>
      <w:r w:rsidRPr="008B4D4B">
        <w:rPr>
          <w:rFonts w:ascii="Didot" w:hAnsi="Didot" w:cs="Didot"/>
          <w:sz w:val="22"/>
          <w:szCs w:val="22"/>
        </w:rPr>
        <w:t xml:space="preserve">Organized and collective violence is highly concentrated in time and space. Over the past decades the global hot spots of extreme violence have migrated from Asia to Latin America and to Africa, though the group of 20 countries with highest levels of organized and collective as well as interpersonal violence has been remarkably stable across the past decades. The nature of contemporary organized and collective violence suggests two routes for violence prevention and intervention. First, a micro-dynamic approach focuses on violent actors, victims and events rather than on root and distal causes. This encourages the transfer of violence programs </w:t>
      </w:r>
      <w:proofErr w:type="gramStart"/>
      <w:r w:rsidRPr="008B4D4B">
        <w:rPr>
          <w:rFonts w:ascii="Didot" w:hAnsi="Didot" w:cs="Didot"/>
          <w:sz w:val="22"/>
          <w:szCs w:val="22"/>
        </w:rPr>
        <w:t>from</w:t>
      </w:r>
      <w:proofErr w:type="gramEnd"/>
      <w:r w:rsidRPr="008B4D4B">
        <w:rPr>
          <w:rFonts w:ascii="Didot" w:hAnsi="Didot" w:cs="Didot"/>
          <w:sz w:val="22"/>
          <w:szCs w:val="22"/>
        </w:rPr>
        <w:t xml:space="preserve"> other settings, like e.g. gangs in neighbourhoods. Second, the concentrated nature of organized and collective violence offers </w:t>
      </w:r>
      <w:r w:rsidRPr="008B4D4B">
        <w:rPr>
          <w:rFonts w:ascii="Didot" w:hAnsi="Didot" w:cs="Didot"/>
          <w:sz w:val="22"/>
          <w:szCs w:val="22"/>
          <w:lang w:val="en-GB"/>
        </w:rPr>
        <w:t xml:space="preserve">advantages for intervention and prevention, and the targeting of hot spots of violence might considerably reduce overall violence. Nonetheless, </w:t>
      </w:r>
      <w:proofErr w:type="gramStart"/>
      <w:r w:rsidRPr="008B4D4B">
        <w:rPr>
          <w:rFonts w:ascii="Didot" w:hAnsi="Didot" w:cs="Didot"/>
          <w:sz w:val="22"/>
          <w:szCs w:val="22"/>
          <w:lang w:val="en-GB"/>
        </w:rPr>
        <w:t>this  poses</w:t>
      </w:r>
      <w:proofErr w:type="gramEnd"/>
      <w:r w:rsidRPr="008B4D4B">
        <w:rPr>
          <w:rFonts w:ascii="Didot" w:hAnsi="Didot" w:cs="Didot"/>
          <w:sz w:val="22"/>
          <w:szCs w:val="22"/>
          <w:lang w:val="en-GB"/>
        </w:rPr>
        <w:t xml:space="preserve"> a number of problems and difficult questions. What would be the overall impact on violence levels if hotspots </w:t>
      </w:r>
      <w:proofErr w:type="gramStart"/>
      <w:r w:rsidRPr="008B4D4B">
        <w:rPr>
          <w:rFonts w:ascii="Didot" w:hAnsi="Didot" w:cs="Didot"/>
          <w:sz w:val="22"/>
          <w:szCs w:val="22"/>
          <w:lang w:val="en-GB"/>
        </w:rPr>
        <w:t>are</w:t>
      </w:r>
      <w:proofErr w:type="gramEnd"/>
      <w:r w:rsidRPr="008B4D4B">
        <w:rPr>
          <w:rFonts w:ascii="Didot" w:hAnsi="Didot" w:cs="Didot"/>
          <w:sz w:val="22"/>
          <w:szCs w:val="22"/>
          <w:lang w:val="en-GB"/>
        </w:rPr>
        <w:t xml:space="preserve"> targeted? How responsive are hotspots to violence reduction programmes, are they “hard” or “soft” targets? In which ways are organised and other forms of violence related in hotspots, and will interventions targeting one form of violence have </w:t>
      </w:r>
      <w:proofErr w:type="gramStart"/>
      <w:r w:rsidRPr="008B4D4B">
        <w:rPr>
          <w:rFonts w:ascii="Didot" w:hAnsi="Didot" w:cs="Didot"/>
          <w:sz w:val="22"/>
          <w:szCs w:val="22"/>
          <w:lang w:val="en-GB"/>
        </w:rPr>
        <w:t>spill-over</w:t>
      </w:r>
      <w:proofErr w:type="gramEnd"/>
      <w:r w:rsidRPr="008B4D4B">
        <w:rPr>
          <w:rFonts w:ascii="Didot" w:hAnsi="Didot" w:cs="Didot"/>
          <w:sz w:val="22"/>
          <w:szCs w:val="22"/>
          <w:lang w:val="en-GB"/>
        </w:rPr>
        <w:t xml:space="preserve"> effects on another type? Based on a unique global data set of “Violent Societies”, which combines types of organised and non-organised violence for 134 countries since 1976, these questions will be addressed in two steps. First, the contribution of global hot spots of violence to the overall level of violence will be described, for organised as well as for non-organised forms of violence. Next, the relationship between organised and non-organised violence will be explored for hotspots of violence, with particular attention to their contextual pattern. Finally, impact of violence reduction in hot spots on global violence levels will be estimated, for various global regions. Conclusions will be drawn as to the advantages, disadvantages and tools of interventions targeting hot spots.   </w:t>
      </w:r>
    </w:p>
    <w:p w14:paraId="0691114C" w14:textId="77777777" w:rsidR="005A1339" w:rsidRPr="006916FC" w:rsidRDefault="005A1339" w:rsidP="008A7E29">
      <w:pPr>
        <w:pBdr>
          <w:bottom w:val="single" w:sz="6" w:space="1" w:color="auto"/>
        </w:pBdr>
        <w:jc w:val="both"/>
        <w:rPr>
          <w:rFonts w:ascii="Didot" w:hAnsi="Didot" w:cs="Didot"/>
          <w:sz w:val="22"/>
          <w:szCs w:val="22"/>
          <w:lang w:val="en-GB"/>
        </w:rPr>
      </w:pPr>
    </w:p>
    <w:p w14:paraId="06514164" w14:textId="77777777" w:rsidR="00F11129" w:rsidRPr="006916FC" w:rsidRDefault="00F11129" w:rsidP="008A7E29">
      <w:pPr>
        <w:jc w:val="both"/>
        <w:rPr>
          <w:rFonts w:ascii="Didot" w:hAnsi="Didot" w:cs="Didot"/>
          <w:sz w:val="22"/>
          <w:szCs w:val="22"/>
          <w:lang w:val="en-GB"/>
        </w:rPr>
      </w:pPr>
    </w:p>
    <w:p w14:paraId="76465651" w14:textId="77777777" w:rsidR="005A1339" w:rsidRPr="006916FC" w:rsidRDefault="005A1339" w:rsidP="008A7E29">
      <w:pPr>
        <w:jc w:val="both"/>
        <w:rPr>
          <w:rFonts w:ascii="Didot" w:hAnsi="Didot" w:cs="Didot"/>
          <w:b/>
          <w:lang w:val="en-GB"/>
        </w:rPr>
      </w:pPr>
    </w:p>
    <w:p w14:paraId="036A5C16" w14:textId="77777777" w:rsidR="00160E26" w:rsidRPr="006916FC" w:rsidRDefault="00160E26" w:rsidP="008A7E29">
      <w:pPr>
        <w:jc w:val="both"/>
        <w:rPr>
          <w:rFonts w:ascii="Didot" w:hAnsi="Didot" w:cs="Didot"/>
          <w:b/>
          <w:lang w:val="en-GB"/>
        </w:rPr>
        <w:sectPr w:rsidR="00160E26" w:rsidRPr="006916FC" w:rsidSect="003D6AB9">
          <w:type w:val="continuous"/>
          <w:pgSz w:w="11900" w:h="16840"/>
          <w:pgMar w:top="1440" w:right="1800" w:bottom="1440" w:left="1800" w:header="708" w:footer="708" w:gutter="0"/>
          <w:pgNumType w:start="1"/>
          <w:cols w:space="708"/>
          <w:docGrid w:linePitch="360"/>
        </w:sectPr>
      </w:pPr>
    </w:p>
    <w:p w14:paraId="225B78CF" w14:textId="61519DE7" w:rsidR="005A1339" w:rsidRPr="006916FC" w:rsidRDefault="00BB521F" w:rsidP="008A7E29">
      <w:pPr>
        <w:jc w:val="both"/>
        <w:rPr>
          <w:rFonts w:ascii="Didot" w:hAnsi="Didot" w:cs="Didot"/>
          <w:b/>
          <w:lang w:val="en-GB"/>
        </w:rPr>
      </w:pPr>
      <w:r>
        <w:rPr>
          <w:rFonts w:ascii="Didot" w:hAnsi="Didot" w:cs="Didot"/>
          <w:b/>
          <w:lang w:val="en-GB"/>
        </w:rPr>
        <w:lastRenderedPageBreak/>
        <w:br w:type="column"/>
      </w:r>
      <w:r w:rsidR="005A1339" w:rsidRPr="006916FC">
        <w:rPr>
          <w:rFonts w:ascii="Didot" w:hAnsi="Didot" w:cs="Didot"/>
          <w:b/>
          <w:lang w:val="en-GB"/>
        </w:rPr>
        <w:lastRenderedPageBreak/>
        <w:t xml:space="preserve">Summary </w:t>
      </w:r>
    </w:p>
    <w:p w14:paraId="2A36553F" w14:textId="77777777" w:rsidR="005A1339" w:rsidRPr="006916FC" w:rsidRDefault="005A1339" w:rsidP="008A7E29">
      <w:pPr>
        <w:jc w:val="both"/>
        <w:rPr>
          <w:rFonts w:ascii="Didot" w:hAnsi="Didot" w:cs="Didot"/>
          <w:b/>
          <w:lang w:val="en-GB"/>
        </w:rPr>
      </w:pPr>
    </w:p>
    <w:p w14:paraId="656E58C6" w14:textId="77777777" w:rsidR="00B86B1F" w:rsidRPr="006916FC" w:rsidRDefault="00B86B1F"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Global Hotspots of Violence: How to Focus Intervenion and Prevention</w:t>
      </w:r>
    </w:p>
    <w:p w14:paraId="6CE3D909" w14:textId="77777777" w:rsidR="005A1339" w:rsidRPr="006916FC" w:rsidRDefault="005A1339" w:rsidP="008A7E29">
      <w:pPr>
        <w:jc w:val="both"/>
        <w:rPr>
          <w:rFonts w:ascii="Didot" w:hAnsi="Didot" w:cs="Didot"/>
          <w:sz w:val="22"/>
          <w:szCs w:val="22"/>
        </w:rPr>
      </w:pPr>
    </w:p>
    <w:p w14:paraId="7C0A1358" w14:textId="77777777" w:rsidR="005A1339" w:rsidRPr="008B4D4B" w:rsidRDefault="005A1339" w:rsidP="008A7E29">
      <w:pPr>
        <w:jc w:val="both"/>
        <w:rPr>
          <w:rFonts w:ascii="Didot" w:hAnsi="Didot" w:cs="Didot"/>
          <w:sz w:val="22"/>
          <w:szCs w:val="22"/>
        </w:rPr>
      </w:pPr>
      <w:r w:rsidRPr="008B4D4B">
        <w:rPr>
          <w:rFonts w:ascii="Didot" w:hAnsi="Didot" w:cs="Didot"/>
          <w:sz w:val="22"/>
          <w:szCs w:val="22"/>
        </w:rPr>
        <w:t xml:space="preserve"> Organized or collective violence comprises a range of different forms of violence, committed within different types of organizations, as part of different forms of organizing violence, and by different types of collectivities. Accordingly, collective or organized violent actors comprise state actors – as in wars and internal conflicts -, non-state actors like militias, rebel groups, or terrorist groups, and finally cartels and gangs, as well as organized crime groups. Collective and organized violence includes torture by agencies of the state, forced disappearances and violent displacement of large numbers of people from their homes besides wars, genocide, and internal conflicts. Victims include the victims of torture and repression, civilian and military casualties of civil and other wars, of war crimes and genocide, of imposed policies of famine as well as of other crimes against humanity. Victims further include the victims of organized and collective sexual violence in armed conflicts, as well as the victims of these crimes in refugee camps and under conditions of displacement. Direct and indirect (e.g. through sexual violence in a refugee camp) lethal victimization through organized and collective violence by far exceeds and outnumbers victims of interpersonal violence, even as organized and collective violence decreased as a result of declining armed conflict. States and governments are still the most lethal of collective violent actors, and muster a range of other collective actors from military to militias, police forces and other repressive forces and agents of the state. Over the past decades, state organized violence has resulted in huge numbers of victims of massive violence. </w:t>
      </w:r>
    </w:p>
    <w:p w14:paraId="2995240F" w14:textId="77777777" w:rsidR="005A1339" w:rsidRPr="008B4D4B" w:rsidRDefault="005A1339" w:rsidP="008A7E29">
      <w:pPr>
        <w:jc w:val="both"/>
        <w:rPr>
          <w:rFonts w:ascii="Didot" w:hAnsi="Didot" w:cs="Didot"/>
          <w:sz w:val="22"/>
          <w:szCs w:val="22"/>
        </w:rPr>
      </w:pPr>
    </w:p>
    <w:p w14:paraId="59952E7C" w14:textId="77777777" w:rsidR="005A1339" w:rsidRPr="008B4D4B" w:rsidRDefault="005A1339" w:rsidP="008A7E29">
      <w:pPr>
        <w:jc w:val="both"/>
        <w:rPr>
          <w:rFonts w:ascii="Didot" w:hAnsi="Didot" w:cs="Didot"/>
          <w:sz w:val="22"/>
          <w:szCs w:val="22"/>
        </w:rPr>
      </w:pPr>
      <w:r w:rsidRPr="008B4D4B">
        <w:rPr>
          <w:rFonts w:ascii="Didot" w:hAnsi="Didot" w:cs="Didot"/>
          <w:sz w:val="22"/>
          <w:szCs w:val="22"/>
        </w:rPr>
        <w:t xml:space="preserve">As the number of armed conflicts and its victims declined, the face of organized violence and the groups of actors involved have changed considerably. Collective violence became “multi-polar”. Different groups became victims of massive attacks of physical violence, including mass killings, systematic sexual violence and enforced displacement, and mass violence oscillates between these different forms of violence. In many incidents of mass atrocities systematic sexual violence is the predominant type of violence. Diverse groups of perpetrators participate for a multitude of reasons, ranging from state government forces to militias, and engage in complex and shifting alliances, with states and governments still taking the lead in perpetrating massive violence and atrocity crimes. Engagement of military and paramilitary forces, as well as of the police in para-military action result in forced disappearances, widespread torture, and sexual violence. It is important to recognize the sinuous character of collective violence, with “peaks and lulls”, where campaigns of massive and targeted violence alternate with lower levels, and where indiscriminate violence has different objectives and victimizes successive groups in waves. Organized and collective violence correlates with interpersonal violence, as communities are disrupted, young men become habituated to violence, and massive displacement makes women and children particularly vulnerable.  These are exactly the “Complex emergencies” that the WHO has identified in its 2002 “World Report on Violence and Health” within the context of collective violence. </w:t>
      </w:r>
    </w:p>
    <w:p w14:paraId="4B253F7C" w14:textId="77777777" w:rsidR="005A1339" w:rsidRPr="008B4D4B" w:rsidRDefault="005A1339" w:rsidP="008A7E29">
      <w:pPr>
        <w:jc w:val="both"/>
        <w:rPr>
          <w:rFonts w:ascii="Didot" w:hAnsi="Didot" w:cs="Didot"/>
          <w:sz w:val="22"/>
          <w:szCs w:val="22"/>
        </w:rPr>
      </w:pPr>
    </w:p>
    <w:p w14:paraId="6F015C39" w14:textId="77777777" w:rsidR="005A1339" w:rsidRPr="008B4D4B" w:rsidRDefault="005A1339" w:rsidP="008A7E29">
      <w:pPr>
        <w:jc w:val="both"/>
        <w:rPr>
          <w:rFonts w:ascii="Didot" w:hAnsi="Didot" w:cs="Didot"/>
          <w:b/>
          <w:sz w:val="22"/>
          <w:szCs w:val="22"/>
        </w:rPr>
      </w:pPr>
      <w:r w:rsidRPr="008B4D4B">
        <w:rPr>
          <w:rFonts w:ascii="Didot" w:hAnsi="Didot" w:cs="Didot"/>
          <w:b/>
          <w:sz w:val="22"/>
          <w:szCs w:val="22"/>
        </w:rPr>
        <w:t>Micro-dynamics of contemporary collective violence:</w:t>
      </w:r>
    </w:p>
    <w:p w14:paraId="223BF14B" w14:textId="77777777" w:rsidR="005A1339" w:rsidRPr="008B4D4B" w:rsidRDefault="005A1339" w:rsidP="008A7E29">
      <w:pPr>
        <w:jc w:val="both"/>
        <w:rPr>
          <w:rFonts w:ascii="Didot" w:hAnsi="Didot" w:cs="Didot"/>
          <w:b/>
          <w:sz w:val="22"/>
          <w:szCs w:val="22"/>
        </w:rPr>
      </w:pPr>
      <w:r w:rsidRPr="008B4D4B">
        <w:rPr>
          <w:rFonts w:ascii="Didot" w:hAnsi="Didot" w:cs="Didot"/>
          <w:b/>
          <w:sz w:val="22"/>
          <w:szCs w:val="22"/>
        </w:rPr>
        <w:t xml:space="preserve"> Implications and principles for violence reduction  </w:t>
      </w:r>
    </w:p>
    <w:p w14:paraId="70A48403" w14:textId="77777777" w:rsidR="005A1339" w:rsidRPr="008B4D4B" w:rsidRDefault="005A1339" w:rsidP="008A7E29">
      <w:pPr>
        <w:jc w:val="both"/>
        <w:rPr>
          <w:rFonts w:ascii="Didot" w:hAnsi="Didot" w:cs="Didot"/>
          <w:b/>
          <w:sz w:val="22"/>
          <w:szCs w:val="22"/>
        </w:rPr>
      </w:pPr>
    </w:p>
    <w:p w14:paraId="72696903" w14:textId="77777777" w:rsidR="005A1339" w:rsidRPr="008B4D4B" w:rsidRDefault="005A1339" w:rsidP="008A7E29">
      <w:pPr>
        <w:jc w:val="both"/>
        <w:rPr>
          <w:rFonts w:ascii="Didot" w:hAnsi="Didot" w:cs="Didot"/>
          <w:sz w:val="22"/>
          <w:szCs w:val="22"/>
        </w:rPr>
      </w:pPr>
      <w:r w:rsidRPr="008B4D4B">
        <w:rPr>
          <w:rFonts w:ascii="Didot" w:hAnsi="Didot" w:cs="Didot"/>
          <w:sz w:val="22"/>
          <w:szCs w:val="22"/>
        </w:rPr>
        <w:t xml:space="preserve">As patterns of contemporary collective violence change, the micro-dynamics of extreme and collective violence become more important than macro-level risk factors. We thus move our vantage point in understanding these types of violence closer to the ‘everyday violence’ that is committed and goes on in wars, civil wars and gang wars, to collective and other forms of political violence, or to organized crime and violence committed by these actors. Violence by collective actors thus becomes comparable to other settings: gang wars in urban areas, violent organized crime and its related territorial disputes, or political violence and mobilization. </w:t>
      </w:r>
      <w:proofErr w:type="gramStart"/>
      <w:r w:rsidRPr="008B4D4B">
        <w:rPr>
          <w:rFonts w:ascii="Didot" w:hAnsi="Didot" w:cs="Didot"/>
          <w:sz w:val="22"/>
          <w:szCs w:val="22"/>
        </w:rPr>
        <w:t>Local violence that spirals out of control in ‘Hobbesian’</w:t>
      </w:r>
      <w:proofErr w:type="gramEnd"/>
      <w:r w:rsidRPr="008B4D4B">
        <w:rPr>
          <w:rFonts w:ascii="Didot" w:hAnsi="Didot" w:cs="Didot"/>
          <w:sz w:val="22"/>
          <w:szCs w:val="22"/>
        </w:rPr>
        <w:t xml:space="preserve"> and high-risk spaces might be equally found in Latin American favelas and US American ghettos. </w:t>
      </w:r>
    </w:p>
    <w:p w14:paraId="50EE9718" w14:textId="77777777" w:rsidR="005A1339" w:rsidRPr="008B4D4B" w:rsidRDefault="005A1339" w:rsidP="008A7E29">
      <w:pPr>
        <w:jc w:val="both"/>
        <w:rPr>
          <w:rFonts w:ascii="Didot" w:hAnsi="Didot" w:cs="Didot"/>
          <w:sz w:val="22"/>
          <w:szCs w:val="22"/>
        </w:rPr>
      </w:pPr>
    </w:p>
    <w:p w14:paraId="6C27490F" w14:textId="77777777" w:rsidR="005A1339" w:rsidRPr="008B4D4B" w:rsidRDefault="005A1339" w:rsidP="008A7E29">
      <w:pPr>
        <w:jc w:val="both"/>
        <w:rPr>
          <w:rFonts w:ascii="Didot" w:hAnsi="Didot" w:cs="Didot"/>
          <w:sz w:val="22"/>
          <w:szCs w:val="22"/>
        </w:rPr>
      </w:pPr>
      <w:r w:rsidRPr="008B4D4B">
        <w:rPr>
          <w:rFonts w:ascii="Didot" w:hAnsi="Didot" w:cs="Didot"/>
          <w:sz w:val="22"/>
          <w:szCs w:val="22"/>
        </w:rPr>
        <w:t>Focusing on the micro dynamics of massive collective violence rather than macro-level causes and risk factors is hugely advantageous for violence reduction from a health perspective as promoted by the WHO for the following reasons:</w:t>
      </w:r>
    </w:p>
    <w:p w14:paraId="3A2AC062" w14:textId="77777777" w:rsidR="005A1339" w:rsidRPr="008B4D4B" w:rsidRDefault="005A1339" w:rsidP="008A7E29">
      <w:pPr>
        <w:pStyle w:val="ListParagraph"/>
        <w:numPr>
          <w:ilvl w:val="0"/>
          <w:numId w:val="25"/>
        </w:numPr>
        <w:jc w:val="both"/>
        <w:rPr>
          <w:rFonts w:ascii="Didot" w:hAnsi="Didot" w:cs="Didot"/>
          <w:sz w:val="22"/>
          <w:szCs w:val="22"/>
        </w:rPr>
      </w:pPr>
      <w:proofErr w:type="gramStart"/>
      <w:r w:rsidRPr="008B4D4B">
        <w:rPr>
          <w:rFonts w:ascii="Didot" w:hAnsi="Didot" w:cs="Didot"/>
          <w:sz w:val="22"/>
          <w:szCs w:val="22"/>
        </w:rPr>
        <w:t>rather</w:t>
      </w:r>
      <w:proofErr w:type="gramEnd"/>
      <w:r w:rsidRPr="008B4D4B">
        <w:rPr>
          <w:rFonts w:ascii="Didot" w:hAnsi="Didot" w:cs="Didot"/>
          <w:sz w:val="22"/>
          <w:szCs w:val="22"/>
        </w:rPr>
        <w:t xml:space="preserve"> than addressing root or distal causes related to violence, programmes of intervention and prevention can target violent acts and violent actors directly;</w:t>
      </w:r>
    </w:p>
    <w:p w14:paraId="152333DD" w14:textId="77777777" w:rsidR="005A1339" w:rsidRPr="008B4D4B" w:rsidRDefault="005A1339" w:rsidP="008A7E29">
      <w:pPr>
        <w:pStyle w:val="ListParagraph"/>
        <w:numPr>
          <w:ilvl w:val="0"/>
          <w:numId w:val="25"/>
        </w:numPr>
        <w:jc w:val="both"/>
        <w:rPr>
          <w:rFonts w:ascii="Didot" w:hAnsi="Didot" w:cs="Didot"/>
          <w:sz w:val="22"/>
          <w:szCs w:val="22"/>
        </w:rPr>
      </w:pPr>
      <w:proofErr w:type="gramStart"/>
      <w:r w:rsidRPr="008B4D4B">
        <w:rPr>
          <w:rFonts w:ascii="Didot" w:hAnsi="Didot" w:cs="Didot"/>
          <w:sz w:val="22"/>
          <w:szCs w:val="22"/>
        </w:rPr>
        <w:t>given</w:t>
      </w:r>
      <w:proofErr w:type="gramEnd"/>
      <w:r w:rsidRPr="008B4D4B">
        <w:rPr>
          <w:rFonts w:ascii="Didot" w:hAnsi="Didot" w:cs="Didot"/>
          <w:sz w:val="22"/>
          <w:szCs w:val="22"/>
        </w:rPr>
        <w:t xml:space="preserve"> the similarities with violence in other settings, successful programmes can be “transferred” and tested within the context of high-level organized violence; </w:t>
      </w:r>
    </w:p>
    <w:p w14:paraId="02896AF9" w14:textId="77777777" w:rsidR="005A1339" w:rsidRPr="008B4D4B" w:rsidRDefault="005A1339" w:rsidP="008A7E29">
      <w:pPr>
        <w:pStyle w:val="ListParagraph"/>
        <w:numPr>
          <w:ilvl w:val="0"/>
          <w:numId w:val="25"/>
        </w:numPr>
        <w:jc w:val="both"/>
        <w:rPr>
          <w:rFonts w:ascii="Didot" w:hAnsi="Didot" w:cs="Didot"/>
          <w:sz w:val="22"/>
          <w:szCs w:val="22"/>
        </w:rPr>
      </w:pPr>
      <w:proofErr w:type="gramStart"/>
      <w:r w:rsidRPr="008B4D4B">
        <w:rPr>
          <w:rFonts w:ascii="Didot" w:hAnsi="Didot" w:cs="Didot"/>
          <w:sz w:val="22"/>
          <w:szCs w:val="22"/>
        </w:rPr>
        <w:t>programmes</w:t>
      </w:r>
      <w:proofErr w:type="gramEnd"/>
      <w:r w:rsidRPr="008B4D4B">
        <w:rPr>
          <w:rFonts w:ascii="Didot" w:hAnsi="Didot" w:cs="Didot"/>
          <w:sz w:val="22"/>
          <w:szCs w:val="22"/>
        </w:rPr>
        <w:t xml:space="preserve"> targeting violent actors can be combined with successful interventions to protect potential victims from violence, and move from single-focus programmes of violence reduction for perpetrators towards multi-focus programmes that enhance protective factors among victims. </w:t>
      </w:r>
    </w:p>
    <w:p w14:paraId="6CD98315" w14:textId="77777777" w:rsidR="005A1339" w:rsidRPr="008B4D4B" w:rsidRDefault="005A1339" w:rsidP="008A7E29">
      <w:pPr>
        <w:ind w:left="119"/>
        <w:jc w:val="both"/>
        <w:rPr>
          <w:rFonts w:ascii="Didot" w:hAnsi="Didot" w:cs="Didot"/>
          <w:sz w:val="22"/>
          <w:szCs w:val="22"/>
        </w:rPr>
      </w:pPr>
    </w:p>
    <w:p w14:paraId="6F86B869" w14:textId="77777777" w:rsidR="005A1339" w:rsidRPr="008B4D4B" w:rsidRDefault="005A1339" w:rsidP="008A7E29">
      <w:pPr>
        <w:ind w:left="179"/>
        <w:jc w:val="both"/>
        <w:rPr>
          <w:rFonts w:ascii="Didot" w:hAnsi="Didot" w:cs="Didot"/>
          <w:sz w:val="22"/>
          <w:szCs w:val="22"/>
        </w:rPr>
      </w:pPr>
      <w:r w:rsidRPr="008B4D4B">
        <w:rPr>
          <w:rFonts w:ascii="Didot" w:hAnsi="Didot" w:cs="Didot"/>
          <w:sz w:val="22"/>
          <w:szCs w:val="22"/>
        </w:rPr>
        <w:t xml:space="preserve">This leads on to a </w:t>
      </w:r>
      <w:r w:rsidRPr="008B4D4B">
        <w:rPr>
          <w:rFonts w:ascii="Didot" w:hAnsi="Didot" w:cs="Didot"/>
          <w:b/>
          <w:sz w:val="22"/>
          <w:szCs w:val="22"/>
        </w:rPr>
        <w:t>set of principles</w:t>
      </w:r>
      <w:r w:rsidRPr="008B4D4B">
        <w:rPr>
          <w:rFonts w:ascii="Didot" w:hAnsi="Didot" w:cs="Didot"/>
          <w:sz w:val="22"/>
          <w:szCs w:val="22"/>
        </w:rPr>
        <w:t xml:space="preserve"> of violence </w:t>
      </w:r>
      <w:proofErr w:type="gramStart"/>
      <w:r w:rsidRPr="008B4D4B">
        <w:rPr>
          <w:rFonts w:ascii="Didot" w:hAnsi="Didot" w:cs="Didot"/>
          <w:sz w:val="22"/>
          <w:szCs w:val="22"/>
        </w:rPr>
        <w:t>reduction / victim</w:t>
      </w:r>
      <w:proofErr w:type="gramEnd"/>
      <w:r w:rsidRPr="008B4D4B">
        <w:rPr>
          <w:rFonts w:ascii="Didot" w:hAnsi="Didot" w:cs="Didot"/>
          <w:sz w:val="22"/>
          <w:szCs w:val="22"/>
        </w:rPr>
        <w:t xml:space="preserve"> protection for collective violence within and beyond the context of “complex emergencies”.  </w:t>
      </w:r>
    </w:p>
    <w:p w14:paraId="1E5D87C3" w14:textId="77777777" w:rsidR="005A1339" w:rsidRPr="008B4D4B" w:rsidRDefault="005A1339" w:rsidP="008A7E29">
      <w:pPr>
        <w:ind w:left="119"/>
        <w:jc w:val="both"/>
        <w:rPr>
          <w:rFonts w:ascii="Didot" w:hAnsi="Didot" w:cs="Didot"/>
          <w:sz w:val="22"/>
          <w:szCs w:val="22"/>
        </w:rPr>
      </w:pPr>
    </w:p>
    <w:p w14:paraId="052E01CF" w14:textId="77777777" w:rsidR="005A1339" w:rsidRPr="008B4D4B" w:rsidRDefault="005A1339" w:rsidP="008A7E29">
      <w:pPr>
        <w:pStyle w:val="ListParagraph"/>
        <w:numPr>
          <w:ilvl w:val="0"/>
          <w:numId w:val="26"/>
        </w:numPr>
        <w:jc w:val="both"/>
        <w:rPr>
          <w:rFonts w:ascii="Didot" w:hAnsi="Didot" w:cs="Didot"/>
          <w:sz w:val="22"/>
          <w:szCs w:val="22"/>
        </w:rPr>
      </w:pPr>
      <w:r w:rsidRPr="008B4D4B">
        <w:rPr>
          <w:rFonts w:ascii="Didot" w:hAnsi="Didot" w:cs="Didot"/>
          <w:sz w:val="22"/>
          <w:szCs w:val="22"/>
        </w:rPr>
        <w:t>“</w:t>
      </w:r>
      <w:proofErr w:type="gramStart"/>
      <w:r w:rsidRPr="008B4D4B">
        <w:rPr>
          <w:rFonts w:ascii="Didot" w:hAnsi="Didot" w:cs="Didot"/>
          <w:sz w:val="22"/>
          <w:szCs w:val="22"/>
        </w:rPr>
        <w:t>migrating</w:t>
      </w:r>
      <w:proofErr w:type="gramEnd"/>
      <w:r w:rsidRPr="008B4D4B">
        <w:rPr>
          <w:rFonts w:ascii="Didot" w:hAnsi="Didot" w:cs="Didot"/>
          <w:sz w:val="22"/>
          <w:szCs w:val="22"/>
        </w:rPr>
        <w:t xml:space="preserve">” successful programmes between different levels and contexts as between gangs in neighbourhoods and factions in civil war; or peace building programmes and firearm reduction programmes; </w:t>
      </w:r>
    </w:p>
    <w:p w14:paraId="51081DFE" w14:textId="77777777" w:rsidR="005A1339" w:rsidRPr="008B4D4B" w:rsidRDefault="005A1339" w:rsidP="008A7E29">
      <w:pPr>
        <w:pStyle w:val="ListParagraph"/>
        <w:numPr>
          <w:ilvl w:val="0"/>
          <w:numId w:val="26"/>
        </w:numPr>
        <w:jc w:val="both"/>
        <w:rPr>
          <w:rFonts w:ascii="Didot" w:hAnsi="Didot" w:cs="Didot"/>
          <w:sz w:val="22"/>
          <w:szCs w:val="22"/>
        </w:rPr>
      </w:pPr>
      <w:proofErr w:type="gramStart"/>
      <w:r w:rsidRPr="008B4D4B">
        <w:rPr>
          <w:rFonts w:ascii="Didot" w:hAnsi="Didot" w:cs="Didot"/>
          <w:sz w:val="22"/>
          <w:szCs w:val="22"/>
        </w:rPr>
        <w:t>targeting</w:t>
      </w:r>
      <w:proofErr w:type="gramEnd"/>
      <w:r w:rsidRPr="008B4D4B">
        <w:rPr>
          <w:rFonts w:ascii="Didot" w:hAnsi="Didot" w:cs="Didot"/>
          <w:sz w:val="22"/>
          <w:szCs w:val="22"/>
        </w:rPr>
        <w:t xml:space="preserve"> potential perpetrators as part of networks and other collectivities, as e.g. organizations; </w:t>
      </w:r>
    </w:p>
    <w:p w14:paraId="3F73712A" w14:textId="77777777" w:rsidR="005A1339" w:rsidRPr="008B4D4B" w:rsidRDefault="005A1339" w:rsidP="008A7E29">
      <w:pPr>
        <w:pStyle w:val="ListParagraph"/>
        <w:numPr>
          <w:ilvl w:val="0"/>
          <w:numId w:val="26"/>
        </w:numPr>
        <w:jc w:val="both"/>
        <w:rPr>
          <w:rFonts w:ascii="Didot" w:hAnsi="Didot" w:cs="Didot"/>
          <w:sz w:val="22"/>
          <w:szCs w:val="22"/>
        </w:rPr>
      </w:pPr>
      <w:proofErr w:type="gramStart"/>
      <w:r w:rsidRPr="008B4D4B">
        <w:rPr>
          <w:rFonts w:ascii="Didot" w:hAnsi="Didot" w:cs="Didot"/>
          <w:sz w:val="22"/>
          <w:szCs w:val="22"/>
        </w:rPr>
        <w:t>targeting</w:t>
      </w:r>
      <w:proofErr w:type="gramEnd"/>
      <w:r w:rsidRPr="008B4D4B">
        <w:rPr>
          <w:rFonts w:ascii="Didot" w:hAnsi="Didot" w:cs="Didot"/>
          <w:sz w:val="22"/>
          <w:szCs w:val="22"/>
        </w:rPr>
        <w:t xml:space="preserve"> potential victims of organized violence: identifying protective factors and developing programmes;</w:t>
      </w:r>
    </w:p>
    <w:p w14:paraId="4AC93492" w14:textId="77777777" w:rsidR="005A1339" w:rsidRPr="008B4D4B" w:rsidRDefault="005A1339" w:rsidP="008A7E29">
      <w:pPr>
        <w:pStyle w:val="ListParagraph"/>
        <w:numPr>
          <w:ilvl w:val="0"/>
          <w:numId w:val="26"/>
        </w:numPr>
        <w:jc w:val="both"/>
        <w:rPr>
          <w:rFonts w:ascii="Didot" w:hAnsi="Didot" w:cs="Didot"/>
          <w:sz w:val="22"/>
          <w:szCs w:val="22"/>
        </w:rPr>
      </w:pPr>
      <w:proofErr w:type="gramStart"/>
      <w:r w:rsidRPr="008B4D4B">
        <w:rPr>
          <w:rFonts w:ascii="Didot" w:hAnsi="Didot" w:cs="Didot"/>
          <w:sz w:val="22"/>
          <w:szCs w:val="22"/>
        </w:rPr>
        <w:t>developing</w:t>
      </w:r>
      <w:proofErr w:type="gramEnd"/>
      <w:r w:rsidRPr="008B4D4B">
        <w:rPr>
          <w:rFonts w:ascii="Didot" w:hAnsi="Didot" w:cs="Didot"/>
          <w:sz w:val="22"/>
          <w:szCs w:val="22"/>
        </w:rPr>
        <w:t xml:space="preserve"> programmes of monitoring state organized actors, and contributing to existing programmes of oversight, monitoring  and  auditing the use of force by organized state and government actors (e.g. Optional Protocol to the Convention against Torture, Istanbul Protocol) </w:t>
      </w:r>
    </w:p>
    <w:p w14:paraId="23F2967D" w14:textId="77777777" w:rsidR="005A1339" w:rsidRPr="008B4D4B" w:rsidRDefault="005A1339" w:rsidP="008A7E29">
      <w:pPr>
        <w:pStyle w:val="ListParagraph"/>
        <w:ind w:left="899"/>
        <w:jc w:val="both"/>
        <w:rPr>
          <w:rFonts w:ascii="Didot" w:hAnsi="Didot" w:cs="Didot"/>
          <w:sz w:val="22"/>
          <w:szCs w:val="22"/>
        </w:rPr>
      </w:pPr>
    </w:p>
    <w:p w14:paraId="2C83FDE5" w14:textId="77777777" w:rsidR="005A1339" w:rsidRPr="008B4D4B" w:rsidRDefault="005A1339" w:rsidP="008A7E29">
      <w:pPr>
        <w:ind w:left="119"/>
        <w:jc w:val="both"/>
        <w:rPr>
          <w:rFonts w:ascii="Didot" w:hAnsi="Didot" w:cs="Didot"/>
          <w:b/>
          <w:sz w:val="22"/>
          <w:szCs w:val="22"/>
        </w:rPr>
      </w:pPr>
      <w:r w:rsidRPr="008B4D4B">
        <w:rPr>
          <w:rFonts w:ascii="Didot" w:hAnsi="Didot" w:cs="Didot"/>
          <w:b/>
          <w:sz w:val="22"/>
          <w:szCs w:val="22"/>
        </w:rPr>
        <w:t>Global hot spots of violence:</w:t>
      </w:r>
    </w:p>
    <w:p w14:paraId="5EB014C7" w14:textId="77777777" w:rsidR="005A1339" w:rsidRPr="008B4D4B" w:rsidRDefault="005A1339" w:rsidP="008A7E29">
      <w:pPr>
        <w:ind w:left="119"/>
        <w:jc w:val="both"/>
        <w:rPr>
          <w:rFonts w:ascii="Didot" w:hAnsi="Didot" w:cs="Didot"/>
          <w:b/>
          <w:sz w:val="22"/>
          <w:szCs w:val="22"/>
        </w:rPr>
      </w:pPr>
      <w:r w:rsidRPr="008B4D4B">
        <w:rPr>
          <w:rFonts w:ascii="Didot" w:hAnsi="Didot" w:cs="Didot"/>
          <w:b/>
          <w:sz w:val="22"/>
          <w:szCs w:val="22"/>
        </w:rPr>
        <w:t>Implications and principles for violence reduction</w:t>
      </w:r>
    </w:p>
    <w:p w14:paraId="241A0749" w14:textId="77777777" w:rsidR="005A1339" w:rsidRPr="008B4D4B" w:rsidRDefault="005A1339" w:rsidP="008A7E29">
      <w:pPr>
        <w:ind w:left="119"/>
        <w:jc w:val="both"/>
        <w:rPr>
          <w:rFonts w:ascii="Didot" w:hAnsi="Didot" w:cs="Didot"/>
          <w:sz w:val="22"/>
          <w:szCs w:val="22"/>
        </w:rPr>
      </w:pPr>
      <w:r w:rsidRPr="008B4D4B">
        <w:rPr>
          <w:rFonts w:ascii="Didot" w:hAnsi="Didot" w:cs="Didot"/>
          <w:b/>
          <w:sz w:val="22"/>
          <w:szCs w:val="22"/>
        </w:rPr>
        <w:t xml:space="preserve">  </w:t>
      </w:r>
    </w:p>
    <w:p w14:paraId="15965211" w14:textId="77777777" w:rsidR="005A1339" w:rsidRPr="008B4D4B" w:rsidRDefault="005A1339" w:rsidP="008A7E29">
      <w:pPr>
        <w:ind w:left="119"/>
        <w:jc w:val="both"/>
        <w:rPr>
          <w:rFonts w:ascii="Didot" w:hAnsi="Didot" w:cs="Didot"/>
          <w:sz w:val="22"/>
          <w:szCs w:val="22"/>
        </w:rPr>
      </w:pPr>
      <w:r w:rsidRPr="008B4D4B">
        <w:rPr>
          <w:rFonts w:ascii="Didot" w:hAnsi="Didot" w:cs="Didot"/>
          <w:sz w:val="22"/>
          <w:szCs w:val="22"/>
        </w:rPr>
        <w:t xml:space="preserve">Organized and collective actors are particularly involved in creating hot spots of violence with a multitude of victims, from gangs in neighbourhoods to units of security forces and non-state actors in countries and regions. Where hotspots are located in conflict zones, sexual violence is one of the most prevalent forms of </w:t>
      </w:r>
      <w:r w:rsidRPr="008B4D4B">
        <w:rPr>
          <w:rFonts w:ascii="Didot" w:hAnsi="Didot" w:cs="Didot"/>
          <w:sz w:val="22"/>
          <w:szCs w:val="22"/>
        </w:rPr>
        <w:lastRenderedPageBreak/>
        <w:t xml:space="preserve">violence. Global hot spots of violence of violence have the potential to morph into “complex emergencies” at a fast pace. </w:t>
      </w:r>
    </w:p>
    <w:p w14:paraId="42D701C9" w14:textId="77777777" w:rsidR="005A1339" w:rsidRPr="008B4D4B" w:rsidRDefault="005A1339" w:rsidP="008A7E29">
      <w:pPr>
        <w:ind w:left="119"/>
        <w:jc w:val="both"/>
        <w:rPr>
          <w:rFonts w:ascii="Didot" w:hAnsi="Didot" w:cs="Didot"/>
          <w:sz w:val="22"/>
          <w:szCs w:val="22"/>
        </w:rPr>
      </w:pPr>
      <w:r w:rsidRPr="008B4D4B">
        <w:rPr>
          <w:rFonts w:ascii="Didot" w:hAnsi="Didot" w:cs="Didot"/>
          <w:sz w:val="22"/>
          <w:szCs w:val="22"/>
        </w:rPr>
        <w:t xml:space="preserve">My research is based on a unique global data set of “Violent Societies”, which combines types of organized and non-organized violence for 134 countries since 1976. The Index of Violent Societies (VSI) includes battle deaths, state violence, terrorism and homicides, thus combining organized and non-organized violence; it </w:t>
      </w:r>
      <w:proofErr w:type="gramStart"/>
      <w:r w:rsidRPr="008B4D4B">
        <w:rPr>
          <w:rFonts w:ascii="Didot" w:hAnsi="Didot" w:cs="Didot"/>
          <w:sz w:val="22"/>
          <w:szCs w:val="22"/>
        </w:rPr>
        <w:t>gives</w:t>
      </w:r>
      <w:proofErr w:type="gramEnd"/>
      <w:r w:rsidRPr="008B4D4B">
        <w:rPr>
          <w:rFonts w:ascii="Didot" w:hAnsi="Didot" w:cs="Didot"/>
          <w:sz w:val="22"/>
          <w:szCs w:val="22"/>
        </w:rPr>
        <w:t xml:space="preserve"> the relative rank of each country for each year. The VSI and other research demonstrate the following features of global hot spots: </w:t>
      </w:r>
    </w:p>
    <w:p w14:paraId="4D6C4AEB" w14:textId="77777777" w:rsidR="005A1339" w:rsidRPr="008B4D4B" w:rsidRDefault="005A1339" w:rsidP="008A7E29">
      <w:pPr>
        <w:pStyle w:val="ListParagraph"/>
        <w:numPr>
          <w:ilvl w:val="0"/>
          <w:numId w:val="27"/>
        </w:numPr>
        <w:jc w:val="both"/>
        <w:rPr>
          <w:rFonts w:ascii="Didot" w:hAnsi="Didot" w:cs="Didot"/>
          <w:sz w:val="22"/>
          <w:szCs w:val="22"/>
        </w:rPr>
      </w:pPr>
      <w:r w:rsidRPr="008B4D4B">
        <w:rPr>
          <w:rFonts w:ascii="Didot" w:hAnsi="Didot" w:cs="Didot"/>
          <w:sz w:val="22"/>
          <w:szCs w:val="22"/>
        </w:rPr>
        <w:t>Global hot spots are mobile: they migrated from Asia in the 1950s and 1960 to Latin America in the1970s and 1980s, to Africa in the 1990s and 2000s.</w:t>
      </w:r>
    </w:p>
    <w:p w14:paraId="4E82FD7A" w14:textId="77777777" w:rsidR="005A1339" w:rsidRPr="008B4D4B" w:rsidRDefault="005A1339" w:rsidP="008A7E29">
      <w:pPr>
        <w:pStyle w:val="ListParagraph"/>
        <w:numPr>
          <w:ilvl w:val="0"/>
          <w:numId w:val="27"/>
        </w:numPr>
        <w:jc w:val="both"/>
        <w:rPr>
          <w:rFonts w:ascii="Didot" w:hAnsi="Didot" w:cs="Didot"/>
          <w:sz w:val="22"/>
          <w:szCs w:val="22"/>
        </w:rPr>
      </w:pPr>
      <w:r w:rsidRPr="008B4D4B">
        <w:rPr>
          <w:rFonts w:ascii="Didot" w:hAnsi="Didot" w:cs="Didot"/>
          <w:sz w:val="22"/>
          <w:szCs w:val="22"/>
        </w:rPr>
        <w:t>Global hot spots of violence are nonetheless remarkably stable and state-dependent: A large proportion of countries that were among the 20 most violent countries remained in this group across three decades.</w:t>
      </w:r>
    </w:p>
    <w:p w14:paraId="1242FE93" w14:textId="77777777" w:rsidR="005A1339" w:rsidRPr="008B4D4B" w:rsidRDefault="005A1339" w:rsidP="008A7E29">
      <w:pPr>
        <w:pStyle w:val="ListParagraph"/>
        <w:numPr>
          <w:ilvl w:val="0"/>
          <w:numId w:val="27"/>
        </w:numPr>
        <w:jc w:val="both"/>
        <w:rPr>
          <w:rFonts w:ascii="Didot" w:hAnsi="Didot" w:cs="Didot"/>
          <w:sz w:val="22"/>
          <w:szCs w:val="22"/>
        </w:rPr>
      </w:pPr>
      <w:r w:rsidRPr="008B4D4B">
        <w:rPr>
          <w:rFonts w:ascii="Didot" w:hAnsi="Didot" w:cs="Didot"/>
          <w:sz w:val="22"/>
          <w:szCs w:val="22"/>
        </w:rPr>
        <w:t>Global hot spots provide the conditions for mass atrocity crimes, mainly committed by organized actors. A large proportion of countries in this group experienced mass atrocity crimes.</w:t>
      </w:r>
    </w:p>
    <w:p w14:paraId="2F2D0B4B" w14:textId="77777777" w:rsidR="005A1339" w:rsidRPr="008B4D4B" w:rsidRDefault="005A1339" w:rsidP="008A7E29">
      <w:pPr>
        <w:pStyle w:val="ListParagraph"/>
        <w:numPr>
          <w:ilvl w:val="0"/>
          <w:numId w:val="27"/>
        </w:numPr>
        <w:jc w:val="both"/>
        <w:rPr>
          <w:rFonts w:ascii="Didot" w:hAnsi="Didot" w:cs="Didot"/>
          <w:sz w:val="22"/>
          <w:szCs w:val="22"/>
        </w:rPr>
      </w:pPr>
      <w:r w:rsidRPr="008B4D4B">
        <w:rPr>
          <w:rFonts w:ascii="Didot" w:hAnsi="Didot" w:cs="Didot"/>
          <w:sz w:val="22"/>
          <w:szCs w:val="22"/>
        </w:rPr>
        <w:t xml:space="preserve">Even in global hot spots of violence (on the country level) on average only 15% of the territory is affected by extreme violence and the site of massive violence by organized actors. </w:t>
      </w:r>
    </w:p>
    <w:p w14:paraId="6E17176E" w14:textId="77777777" w:rsidR="005A1339" w:rsidRPr="008B4D4B" w:rsidRDefault="005A1339" w:rsidP="008A7E29">
      <w:pPr>
        <w:ind w:left="179"/>
        <w:jc w:val="both"/>
        <w:rPr>
          <w:rFonts w:ascii="Didot" w:hAnsi="Didot" w:cs="Didot"/>
          <w:sz w:val="22"/>
          <w:szCs w:val="22"/>
        </w:rPr>
      </w:pPr>
    </w:p>
    <w:p w14:paraId="06EAD957" w14:textId="77777777" w:rsidR="005A1339" w:rsidRPr="008B4D4B" w:rsidRDefault="005A1339" w:rsidP="008A7E29">
      <w:pPr>
        <w:pStyle w:val="ListParagraph"/>
        <w:numPr>
          <w:ilvl w:val="0"/>
          <w:numId w:val="27"/>
        </w:numPr>
        <w:ind w:left="119"/>
        <w:jc w:val="both"/>
        <w:rPr>
          <w:rFonts w:ascii="Didot" w:hAnsi="Didot" w:cs="Didot"/>
          <w:sz w:val="22"/>
          <w:szCs w:val="22"/>
        </w:rPr>
      </w:pPr>
      <w:r w:rsidRPr="008B4D4B">
        <w:rPr>
          <w:rFonts w:ascii="Didot" w:hAnsi="Didot" w:cs="Didot"/>
          <w:sz w:val="22"/>
          <w:szCs w:val="22"/>
        </w:rPr>
        <w:t>The concentrated nature of violence offers advantages for intervention and prevention, as a focus on global hot spots can achieve a considerable reduction in violence globally, and resources can be targeted.</w:t>
      </w:r>
      <w:r w:rsidRPr="008B4D4B">
        <w:rPr>
          <w:rFonts w:ascii="Didot" w:hAnsi="Didot" w:cs="Didot"/>
          <w:sz w:val="22"/>
          <w:szCs w:val="22"/>
          <w:lang w:eastAsia="ja-JP"/>
        </w:rPr>
        <w:t xml:space="preserve"> H</w:t>
      </w:r>
      <w:r w:rsidRPr="008B4D4B">
        <w:rPr>
          <w:rFonts w:ascii="Didot" w:hAnsi="Didot" w:cs="Didot"/>
          <w:sz w:val="22"/>
          <w:szCs w:val="22"/>
        </w:rPr>
        <w:t xml:space="preserve">owever the nature of organized violent actors might pose particular difficulties. We are presently operating with limited knowledge and </w:t>
      </w:r>
      <w:proofErr w:type="gramStart"/>
      <w:r w:rsidRPr="008B4D4B">
        <w:rPr>
          <w:rFonts w:ascii="Didot" w:hAnsi="Didot" w:cs="Didot"/>
          <w:sz w:val="22"/>
          <w:szCs w:val="22"/>
        </w:rPr>
        <w:t>data bases</w:t>
      </w:r>
      <w:proofErr w:type="gramEnd"/>
      <w:r w:rsidRPr="008B4D4B">
        <w:rPr>
          <w:rFonts w:ascii="Didot" w:hAnsi="Didot" w:cs="Didot"/>
          <w:sz w:val="22"/>
          <w:szCs w:val="22"/>
        </w:rPr>
        <w:t xml:space="preserve"> about the extent of violence by collective and organized actors, the different types of violence and their relationships, and the responsiveness of these types of violence and actors to interventions and prevention. In a first step these questions have to be answered. </w:t>
      </w:r>
      <w:r w:rsidRPr="008B4D4B">
        <w:rPr>
          <w:rFonts w:ascii="Didot" w:hAnsi="Didot" w:cs="Didot"/>
          <w:sz w:val="22"/>
          <w:szCs w:val="22"/>
          <w:lang w:val="en-GB"/>
        </w:rPr>
        <w:t xml:space="preserve">What would be the overall impact on violence levels if hotspots </w:t>
      </w:r>
      <w:proofErr w:type="gramStart"/>
      <w:r w:rsidRPr="008B4D4B">
        <w:rPr>
          <w:rFonts w:ascii="Didot" w:hAnsi="Didot" w:cs="Didot"/>
          <w:sz w:val="22"/>
          <w:szCs w:val="22"/>
          <w:lang w:val="en-GB"/>
        </w:rPr>
        <w:t>are</w:t>
      </w:r>
      <w:proofErr w:type="gramEnd"/>
      <w:r w:rsidRPr="008B4D4B">
        <w:rPr>
          <w:rFonts w:ascii="Didot" w:hAnsi="Didot" w:cs="Didot"/>
          <w:sz w:val="22"/>
          <w:szCs w:val="22"/>
          <w:lang w:val="en-GB"/>
        </w:rPr>
        <w:t xml:space="preserve"> targeted? In which ways are organised and other forms of violence related in hotspots, and will interventions targeting one form of violence have </w:t>
      </w:r>
      <w:proofErr w:type="gramStart"/>
      <w:r w:rsidRPr="008B4D4B">
        <w:rPr>
          <w:rFonts w:ascii="Didot" w:hAnsi="Didot" w:cs="Didot"/>
          <w:sz w:val="22"/>
          <w:szCs w:val="22"/>
          <w:lang w:val="en-GB"/>
        </w:rPr>
        <w:t>spill-over</w:t>
      </w:r>
      <w:proofErr w:type="gramEnd"/>
      <w:r w:rsidRPr="008B4D4B">
        <w:rPr>
          <w:rFonts w:ascii="Didot" w:hAnsi="Didot" w:cs="Didot"/>
          <w:sz w:val="22"/>
          <w:szCs w:val="22"/>
          <w:lang w:val="en-GB"/>
        </w:rPr>
        <w:t xml:space="preserve"> effects on another type?</w:t>
      </w:r>
      <w:r w:rsidRPr="008B4D4B">
        <w:rPr>
          <w:rFonts w:ascii="Didot" w:hAnsi="Didot" w:cs="Didot"/>
          <w:sz w:val="22"/>
          <w:szCs w:val="22"/>
        </w:rPr>
        <w:t xml:space="preserve"> </w:t>
      </w:r>
      <w:r w:rsidRPr="008B4D4B">
        <w:rPr>
          <w:rFonts w:ascii="Didot" w:hAnsi="Didot" w:cs="Didot"/>
          <w:sz w:val="22"/>
          <w:szCs w:val="22"/>
          <w:lang w:val="en-GB"/>
        </w:rPr>
        <w:t xml:space="preserve">How responsive are hotspots to violence reduction programmes, are they “hard” or “soft” targets? </w:t>
      </w:r>
    </w:p>
    <w:p w14:paraId="7AA0942D" w14:textId="77777777" w:rsidR="005A1339" w:rsidRPr="008B4D4B" w:rsidRDefault="005A1339" w:rsidP="008A7E29">
      <w:pPr>
        <w:pStyle w:val="ListParagraph"/>
        <w:jc w:val="both"/>
        <w:rPr>
          <w:rFonts w:ascii="Didot" w:hAnsi="Didot" w:cs="Didot"/>
          <w:sz w:val="22"/>
          <w:szCs w:val="22"/>
        </w:rPr>
      </w:pPr>
    </w:p>
    <w:p w14:paraId="7D617DAD" w14:textId="77777777" w:rsidR="005A1339" w:rsidRPr="008B4D4B" w:rsidRDefault="005A1339" w:rsidP="008A7E29">
      <w:pPr>
        <w:jc w:val="both"/>
        <w:rPr>
          <w:rFonts w:ascii="Didot" w:hAnsi="Didot" w:cs="Didot"/>
          <w:sz w:val="22"/>
          <w:szCs w:val="22"/>
        </w:rPr>
      </w:pPr>
      <w:r w:rsidRPr="008B4D4B">
        <w:rPr>
          <w:rFonts w:ascii="Didot" w:hAnsi="Didot" w:cs="Didot"/>
          <w:sz w:val="22"/>
          <w:szCs w:val="22"/>
        </w:rPr>
        <w:t>In a second step we use the micro-dynamic approach to collective and organized violence for hot spots. The research corroborates a set of recommendations based on the basic premise that - likewise in other contexts - intervention and prevention has to target violent acts and violent actors directly rather than addressing root or distal causes related to violence. This includes the following:</w:t>
      </w:r>
    </w:p>
    <w:p w14:paraId="201F5574" w14:textId="77777777" w:rsidR="005A1339" w:rsidRPr="008B4D4B" w:rsidRDefault="005A1339" w:rsidP="008A7E29">
      <w:pPr>
        <w:numPr>
          <w:ilvl w:val="0"/>
          <w:numId w:val="24"/>
        </w:numPr>
        <w:jc w:val="both"/>
        <w:rPr>
          <w:rFonts w:ascii="Didot" w:hAnsi="Didot" w:cs="Didot"/>
          <w:sz w:val="22"/>
          <w:szCs w:val="22"/>
        </w:rPr>
      </w:pPr>
      <w:r w:rsidRPr="008B4D4B">
        <w:rPr>
          <w:rFonts w:ascii="Didot" w:hAnsi="Didot" w:cs="Didot"/>
          <w:sz w:val="22"/>
          <w:szCs w:val="22"/>
        </w:rPr>
        <w:t xml:space="preserve">Developing programmes of “dynamic deterrence” that target leaders and nodes in organized violent networks, and more generally exploring the </w:t>
      </w:r>
      <w:proofErr w:type="gramStart"/>
      <w:r w:rsidRPr="008B4D4B">
        <w:rPr>
          <w:rFonts w:ascii="Didot" w:hAnsi="Didot" w:cs="Didot"/>
          <w:sz w:val="22"/>
          <w:szCs w:val="22"/>
        </w:rPr>
        <w:t>potential  of</w:t>
      </w:r>
      <w:proofErr w:type="gramEnd"/>
      <w:r w:rsidRPr="008B4D4B">
        <w:rPr>
          <w:rFonts w:ascii="Didot" w:hAnsi="Didot" w:cs="Didot"/>
          <w:sz w:val="22"/>
          <w:szCs w:val="22"/>
        </w:rPr>
        <w:t xml:space="preserve"> using networks for intervention and prevention</w:t>
      </w:r>
    </w:p>
    <w:p w14:paraId="6D1E0380" w14:textId="77777777" w:rsidR="005A1339" w:rsidRPr="008B4D4B" w:rsidRDefault="005A1339" w:rsidP="008A7E29">
      <w:pPr>
        <w:numPr>
          <w:ilvl w:val="0"/>
          <w:numId w:val="24"/>
        </w:numPr>
        <w:jc w:val="both"/>
        <w:rPr>
          <w:rFonts w:ascii="Didot" w:hAnsi="Didot" w:cs="Didot"/>
          <w:sz w:val="22"/>
          <w:szCs w:val="22"/>
        </w:rPr>
      </w:pPr>
      <w:proofErr w:type="gramStart"/>
      <w:r w:rsidRPr="008B4D4B">
        <w:rPr>
          <w:rFonts w:ascii="Didot" w:hAnsi="Didot" w:cs="Didot"/>
          <w:sz w:val="22"/>
          <w:szCs w:val="22"/>
        </w:rPr>
        <w:t>Developing / using</w:t>
      </w:r>
      <w:proofErr w:type="gramEnd"/>
      <w:r w:rsidRPr="008B4D4B">
        <w:rPr>
          <w:rFonts w:ascii="Didot" w:hAnsi="Didot" w:cs="Didot"/>
          <w:sz w:val="22"/>
          <w:szCs w:val="22"/>
        </w:rPr>
        <w:t xml:space="preserve"> programmes for reduction of firearms by organized actors involved;</w:t>
      </w:r>
    </w:p>
    <w:p w14:paraId="337946D4" w14:textId="77777777" w:rsidR="005A1339" w:rsidRPr="008B4D4B" w:rsidRDefault="005A1339" w:rsidP="008A7E29">
      <w:pPr>
        <w:numPr>
          <w:ilvl w:val="0"/>
          <w:numId w:val="24"/>
        </w:numPr>
        <w:jc w:val="both"/>
        <w:rPr>
          <w:rFonts w:ascii="Didot" w:hAnsi="Didot" w:cs="Didot"/>
          <w:sz w:val="22"/>
          <w:szCs w:val="22"/>
        </w:rPr>
      </w:pPr>
      <w:r w:rsidRPr="008B4D4B">
        <w:rPr>
          <w:rFonts w:ascii="Didot" w:hAnsi="Didot" w:cs="Didot"/>
          <w:sz w:val="22"/>
          <w:szCs w:val="22"/>
        </w:rPr>
        <w:t>Developing programmes that change attitudes/ behaviours of organized actors, e.g. those who are equally victimized;</w:t>
      </w:r>
    </w:p>
    <w:p w14:paraId="4E9EFA46" w14:textId="77777777" w:rsidR="005A1339" w:rsidRPr="008B4D4B" w:rsidRDefault="005A1339" w:rsidP="008A7E29">
      <w:pPr>
        <w:numPr>
          <w:ilvl w:val="0"/>
          <w:numId w:val="24"/>
        </w:numPr>
        <w:jc w:val="both"/>
        <w:rPr>
          <w:rFonts w:ascii="Didot" w:hAnsi="Didot" w:cs="Didot"/>
          <w:sz w:val="22"/>
          <w:szCs w:val="22"/>
        </w:rPr>
      </w:pPr>
      <w:r w:rsidRPr="008B4D4B">
        <w:rPr>
          <w:rFonts w:ascii="Didot" w:hAnsi="Didot" w:cs="Didot"/>
          <w:sz w:val="22"/>
          <w:szCs w:val="22"/>
        </w:rPr>
        <w:t xml:space="preserve">Developing programmes for enhancing protective factors among potential victims, in particular among refugees and displaced persons; </w:t>
      </w:r>
    </w:p>
    <w:p w14:paraId="43F41F4E" w14:textId="00FD2D75" w:rsidR="00160E26" w:rsidRPr="008B4D4B" w:rsidRDefault="005A1339" w:rsidP="008A7E29">
      <w:pPr>
        <w:widowControl w:val="0"/>
        <w:autoSpaceDE w:val="0"/>
        <w:autoSpaceDN w:val="0"/>
        <w:adjustRightInd w:val="0"/>
        <w:spacing w:after="200"/>
        <w:jc w:val="both"/>
        <w:rPr>
          <w:rFonts w:ascii="Didot" w:hAnsi="Didot" w:cs="Didot"/>
          <w:b/>
          <w:sz w:val="22"/>
          <w:szCs w:val="22"/>
          <w:lang w:val="en-US"/>
        </w:rPr>
        <w:sectPr w:rsidR="00160E26" w:rsidRPr="008B4D4B" w:rsidSect="00160E26">
          <w:type w:val="continuous"/>
          <w:pgSz w:w="11900" w:h="16840"/>
          <w:pgMar w:top="1440" w:right="1800" w:bottom="1440" w:left="1800" w:header="708" w:footer="708" w:gutter="0"/>
          <w:pgNumType w:start="1"/>
          <w:cols w:space="708"/>
          <w:docGrid w:linePitch="360"/>
        </w:sectPr>
      </w:pPr>
      <w:r w:rsidRPr="008B4D4B">
        <w:rPr>
          <w:rFonts w:ascii="Didot" w:hAnsi="Didot" w:cs="Didot"/>
          <w:sz w:val="22"/>
          <w:szCs w:val="22"/>
        </w:rPr>
        <w:lastRenderedPageBreak/>
        <w:t>Developing programmes using successful peace building efforts for organized violent actors, and migrating programmes between different levels and contexts</w:t>
      </w:r>
    </w:p>
    <w:p w14:paraId="0761BEF1" w14:textId="77777777" w:rsidR="00474E13" w:rsidRPr="006916FC" w:rsidRDefault="00474E13" w:rsidP="008A7E29">
      <w:pPr>
        <w:jc w:val="both"/>
        <w:rPr>
          <w:rFonts w:ascii="Didot" w:hAnsi="Didot" w:cs="Didot"/>
        </w:rPr>
      </w:pPr>
    </w:p>
    <w:p w14:paraId="4BE6E197" w14:textId="77777777" w:rsidR="00474E13" w:rsidRPr="006916FC" w:rsidRDefault="00474E13" w:rsidP="008A7E29">
      <w:pPr>
        <w:pBdr>
          <w:bottom w:val="single" w:sz="6" w:space="1" w:color="auto"/>
        </w:pBdr>
        <w:jc w:val="both"/>
        <w:rPr>
          <w:rFonts w:ascii="Didot" w:hAnsi="Didot" w:cs="Didot"/>
        </w:rPr>
      </w:pPr>
    </w:p>
    <w:p w14:paraId="28D4DEF5" w14:textId="77777777" w:rsidR="00160E26" w:rsidRPr="006916FC" w:rsidRDefault="00160E26" w:rsidP="008A7E29">
      <w:pPr>
        <w:pBdr>
          <w:bottom w:val="single" w:sz="6" w:space="1" w:color="auto"/>
        </w:pBdr>
        <w:jc w:val="both"/>
        <w:rPr>
          <w:rFonts w:ascii="Didot" w:hAnsi="Didot" w:cs="Didot"/>
        </w:rPr>
        <w:sectPr w:rsidR="00160E26" w:rsidRPr="006916FC" w:rsidSect="003D6AB9">
          <w:type w:val="continuous"/>
          <w:pgSz w:w="11900" w:h="16840"/>
          <w:pgMar w:top="1440" w:right="1800" w:bottom="1440" w:left="1800" w:header="708" w:footer="708" w:gutter="0"/>
          <w:pgNumType w:start="1"/>
          <w:cols w:space="708"/>
          <w:docGrid w:linePitch="360"/>
        </w:sectPr>
      </w:pPr>
    </w:p>
    <w:p w14:paraId="672E520A" w14:textId="77777777" w:rsidR="00B552DA" w:rsidRPr="006916FC" w:rsidRDefault="00B552DA" w:rsidP="008A7E29">
      <w:pPr>
        <w:autoSpaceDE w:val="0"/>
        <w:autoSpaceDN w:val="0"/>
        <w:adjustRightInd w:val="0"/>
        <w:ind w:left="720" w:hanging="720"/>
        <w:jc w:val="both"/>
        <w:rPr>
          <w:rFonts w:ascii="Didot" w:hAnsi="Didot" w:cs="Didot"/>
          <w:bCs/>
          <w:color w:val="292526"/>
        </w:rPr>
      </w:pPr>
    </w:p>
    <w:p w14:paraId="047B4D9A" w14:textId="77777777" w:rsidR="00C33C84" w:rsidRPr="006916FC" w:rsidRDefault="00C33C84" w:rsidP="008A7E29">
      <w:pPr>
        <w:pStyle w:val="Heading2"/>
        <w:jc w:val="both"/>
        <w:rPr>
          <w:rFonts w:ascii="Didot" w:hAnsi="Didot" w:cs="Didot"/>
          <w:color w:val="auto"/>
          <w:sz w:val="34"/>
          <w:szCs w:val="34"/>
        </w:rPr>
      </w:pPr>
      <w:bookmarkStart w:id="63" w:name="_Toc272639914"/>
      <w:bookmarkStart w:id="64" w:name="_Toc272645037"/>
      <w:r w:rsidRPr="006916FC">
        <w:rPr>
          <w:rFonts w:ascii="Didot" w:hAnsi="Didot" w:cs="Didot"/>
          <w:color w:val="auto"/>
          <w:sz w:val="34"/>
          <w:szCs w:val="34"/>
        </w:rPr>
        <w:t>James Finckenauer</w:t>
      </w:r>
      <w:bookmarkEnd w:id="63"/>
      <w:bookmarkEnd w:id="64"/>
    </w:p>
    <w:p w14:paraId="1323A447" w14:textId="77777777" w:rsidR="00BB521F" w:rsidRDefault="00BB521F" w:rsidP="008A7E29">
      <w:pPr>
        <w:widowControl w:val="0"/>
        <w:autoSpaceDE w:val="0"/>
        <w:autoSpaceDN w:val="0"/>
        <w:adjustRightInd w:val="0"/>
        <w:spacing w:after="240"/>
        <w:jc w:val="both"/>
        <w:rPr>
          <w:rFonts w:ascii="Didot" w:hAnsi="Didot" w:cs="Didot"/>
          <w:b/>
          <w:color w:val="121212"/>
          <w:lang w:val="en-US"/>
        </w:rPr>
      </w:pPr>
    </w:p>
    <w:p w14:paraId="095CBA0E" w14:textId="77777777" w:rsidR="00C33C84" w:rsidRPr="006916FC" w:rsidRDefault="00C33C84"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Biography</w:t>
      </w:r>
    </w:p>
    <w:p w14:paraId="455A6BE6" w14:textId="77777777" w:rsidR="00C33C84" w:rsidRPr="008B4D4B" w:rsidRDefault="00C33C8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8B4D4B">
        <w:rPr>
          <w:rFonts w:ascii="Didot" w:hAnsi="Didot" w:cs="Didot"/>
          <w:color w:val="121212"/>
          <w:sz w:val="22"/>
          <w:szCs w:val="22"/>
          <w:lang w:val="en-US"/>
        </w:rPr>
        <w:t xml:space="preserve">Dr. James Finckenauer's research and teaching interests include international and comparative criminal justice, transnational organized crime, and criminal and juvenile justice policy, planning and evaluation. He has authored, co-authored or co-edited ten books, as well as numerous articles, chapters and reports.  Professor Finckenauer has been a visiting professor in Australia, China, Germany, Japan, and Russia, and studied or lectured in Europe, Asia, </w:t>
      </w:r>
      <w:proofErr w:type="gramStart"/>
      <w:r w:rsidRPr="008B4D4B">
        <w:rPr>
          <w:rFonts w:ascii="Didot" w:hAnsi="Didot" w:cs="Didot"/>
          <w:color w:val="121212"/>
          <w:sz w:val="22"/>
          <w:szCs w:val="22"/>
          <w:lang w:val="en-US"/>
        </w:rPr>
        <w:t>the</w:t>
      </w:r>
      <w:proofErr w:type="gramEnd"/>
      <w:r w:rsidRPr="008B4D4B">
        <w:rPr>
          <w:rFonts w:ascii="Didot" w:hAnsi="Didot" w:cs="Didot"/>
          <w:color w:val="121212"/>
          <w:sz w:val="22"/>
          <w:szCs w:val="22"/>
          <w:lang w:val="en-US"/>
        </w:rPr>
        <w:t xml:space="preserve"> former Soviet Union, Latin America and the Middle East. From 1998-2002, he was Director of the International Center at the National Institute of Justice of the U.S. Department of Justice; and in 2007 he was a Fulbright Senior Specialist in Hong Kong.  Most recently, Dr. Finckenauer has served as a member of the American Psychological Association Task Force on the Trafficking of Women and Girls, and as a Visiting Lecturer at the University of Pennsylvania Jerry Lee Center of Criminology.  He is a member of the Core Faculty of the Division of Global Affairs at Rutgers, and Co-editor of the Online Journal of Criminal Law and Criminal Justice Book Reviews. </w:t>
      </w:r>
    </w:p>
    <w:p w14:paraId="38EA34F7" w14:textId="77777777" w:rsidR="00C33C84" w:rsidRPr="006916FC" w:rsidRDefault="00C33C8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0BFEBC7A" w14:textId="77777777" w:rsidR="00C33C84" w:rsidRPr="006916FC" w:rsidRDefault="00C33C84"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46915881" w14:textId="77777777" w:rsidR="00C33C84" w:rsidRPr="006916FC" w:rsidRDefault="00C33C84"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Criminal Groups and Violence</w:t>
      </w:r>
    </w:p>
    <w:p w14:paraId="50FD31F1" w14:textId="77777777" w:rsidR="00C33C84" w:rsidRPr="008B4D4B" w:rsidRDefault="00C33C8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r w:rsidRPr="008B4D4B">
        <w:rPr>
          <w:rFonts w:ascii="Didot" w:hAnsi="Didot" w:cs="Didot"/>
          <w:color w:val="121212"/>
          <w:sz w:val="22"/>
          <w:szCs w:val="22"/>
          <w:lang w:val="en-US"/>
        </w:rPr>
        <w:t>The perpetrators of organized crime, namely criminal groups or organizations, come in a great variety – ranging from loosely knit networks of just a few individuals up to relatively large and well-structured, hierarchical groupings.  Street gangs, particularly centered in urban settings, are a form of criminal organization.  So too are outlaw motorcycle gangs, drug cartels, various ethnic-based mafias, etc.  At least some capacity for violence and its use is characteristic of just about all of these groupings.  But both the capacities for and the actual use of violence tend to be different – often markedly so.  In addition to differences in violence capacity, there may be differences in the type of violence engaged in, e.g., impulsive and gratuitous, or instrumental, planned and directed toward some specific aim.  These differences, I suggest, have important implications for prevention and control.  The variability in the capacity for violence; the variability in the type of violence</w:t>
      </w:r>
      <w:proofErr w:type="gramStart"/>
      <w:r w:rsidRPr="008B4D4B">
        <w:rPr>
          <w:rFonts w:ascii="Didot" w:hAnsi="Didot" w:cs="Didot"/>
          <w:color w:val="121212"/>
          <w:sz w:val="22"/>
          <w:szCs w:val="22"/>
          <w:lang w:val="en-US"/>
        </w:rPr>
        <w:t>;</w:t>
      </w:r>
      <w:proofErr w:type="gramEnd"/>
      <w:r w:rsidRPr="008B4D4B">
        <w:rPr>
          <w:rFonts w:ascii="Didot" w:hAnsi="Didot" w:cs="Didot"/>
          <w:color w:val="121212"/>
          <w:sz w:val="22"/>
          <w:szCs w:val="22"/>
          <w:lang w:val="en-US"/>
        </w:rPr>
        <w:t xml:space="preserve"> and, the efficacy of various approaches used to confront and contain violence will be explored.  Since we currently have few, solid, </w:t>
      </w:r>
      <w:proofErr w:type="gramStart"/>
      <w:r w:rsidRPr="008B4D4B">
        <w:rPr>
          <w:rFonts w:ascii="Didot" w:hAnsi="Didot" w:cs="Didot"/>
          <w:color w:val="121212"/>
          <w:sz w:val="22"/>
          <w:szCs w:val="22"/>
          <w:lang w:val="en-US"/>
        </w:rPr>
        <w:t>empirically-based</w:t>
      </w:r>
      <w:proofErr w:type="gramEnd"/>
      <w:r w:rsidRPr="008B4D4B">
        <w:rPr>
          <w:rFonts w:ascii="Didot" w:hAnsi="Didot" w:cs="Didot"/>
          <w:color w:val="121212"/>
          <w:sz w:val="22"/>
          <w:szCs w:val="22"/>
          <w:lang w:val="en-US"/>
        </w:rPr>
        <w:t xml:space="preserve"> answers for most of the questions surrounding criminal groups and violence, a research agenda will also be tentatively outlined. </w:t>
      </w:r>
    </w:p>
    <w:p w14:paraId="1C71C5AB" w14:textId="77777777" w:rsidR="00C33C84" w:rsidRPr="006916FC" w:rsidRDefault="00C33C8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
    <w:p w14:paraId="53B8DFCD" w14:textId="77777777" w:rsidR="00C33C84" w:rsidRPr="006916FC" w:rsidRDefault="00C33C84" w:rsidP="008A7E29">
      <w:pPr>
        <w:jc w:val="both"/>
        <w:rPr>
          <w:rFonts w:ascii="Didot" w:hAnsi="Didot" w:cs="Didot"/>
          <w:b/>
        </w:rPr>
        <w:sectPr w:rsidR="00C33C84" w:rsidRPr="006916FC" w:rsidSect="00C33C84">
          <w:type w:val="continuous"/>
          <w:pgSz w:w="11900" w:h="16840"/>
          <w:pgMar w:top="1440" w:right="1800" w:bottom="1440" w:left="1800" w:header="708" w:footer="708" w:gutter="0"/>
          <w:cols w:space="708"/>
          <w:docGrid w:linePitch="360"/>
        </w:sectPr>
      </w:pPr>
    </w:p>
    <w:p w14:paraId="766E9B87" w14:textId="77777777" w:rsidR="00C33C84" w:rsidRPr="006916FC" w:rsidRDefault="00C33C84" w:rsidP="008A7E29">
      <w:pPr>
        <w:jc w:val="both"/>
        <w:rPr>
          <w:rFonts w:ascii="Didot" w:hAnsi="Didot" w:cs="Didot"/>
          <w:b/>
        </w:rPr>
      </w:pPr>
      <w:r w:rsidRPr="006916FC">
        <w:rPr>
          <w:rFonts w:ascii="Didot" w:hAnsi="Didot" w:cs="Didot"/>
          <w:b/>
        </w:rPr>
        <w:lastRenderedPageBreak/>
        <w:t>Summary</w:t>
      </w:r>
    </w:p>
    <w:p w14:paraId="0C518501" w14:textId="77777777" w:rsidR="00C33C84" w:rsidRPr="006916FC" w:rsidRDefault="00C33C84" w:rsidP="008A7E29">
      <w:pPr>
        <w:jc w:val="both"/>
        <w:rPr>
          <w:rFonts w:ascii="Didot" w:hAnsi="Didot" w:cs="Didot"/>
          <w:b/>
        </w:rPr>
      </w:pPr>
    </w:p>
    <w:p w14:paraId="2E682DB0" w14:textId="77777777" w:rsidR="00C33C84" w:rsidRPr="006916FC" w:rsidRDefault="00C33C84"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Criminal Groups and Violence</w:t>
      </w:r>
    </w:p>
    <w:p w14:paraId="6DAD86DC" w14:textId="77777777" w:rsidR="00C33C84" w:rsidRPr="006916FC" w:rsidRDefault="00C33C84" w:rsidP="008A7E29">
      <w:pPr>
        <w:jc w:val="both"/>
        <w:rPr>
          <w:rFonts w:ascii="Didot" w:hAnsi="Didot" w:cs="Didot"/>
          <w:b/>
        </w:rPr>
      </w:pPr>
    </w:p>
    <w:p w14:paraId="351BA287" w14:textId="77777777" w:rsidR="00C33C84" w:rsidRPr="008B4D4B" w:rsidRDefault="00C33C84" w:rsidP="008A7E29">
      <w:pPr>
        <w:jc w:val="both"/>
        <w:rPr>
          <w:rFonts w:ascii="Didot" w:hAnsi="Didot" w:cs="Didot"/>
          <w:b/>
          <w:sz w:val="22"/>
          <w:szCs w:val="22"/>
        </w:rPr>
      </w:pPr>
      <w:r w:rsidRPr="008B4D4B">
        <w:rPr>
          <w:rFonts w:ascii="Didot" w:hAnsi="Didot" w:cs="Didot"/>
          <w:b/>
          <w:sz w:val="22"/>
          <w:szCs w:val="22"/>
        </w:rPr>
        <w:t>Introduction</w:t>
      </w:r>
    </w:p>
    <w:p w14:paraId="0036F195" w14:textId="77777777" w:rsidR="00C33C84" w:rsidRPr="008B4D4B" w:rsidRDefault="00C33C84" w:rsidP="008A7E29">
      <w:pPr>
        <w:jc w:val="both"/>
        <w:rPr>
          <w:rFonts w:ascii="Didot" w:hAnsi="Didot" w:cs="Didot"/>
          <w:b/>
          <w:sz w:val="22"/>
          <w:szCs w:val="22"/>
        </w:rPr>
      </w:pPr>
    </w:p>
    <w:p w14:paraId="56DEA11E" w14:textId="77777777" w:rsidR="00C33C84" w:rsidRPr="008B4D4B" w:rsidRDefault="00C33C84" w:rsidP="008A7E29">
      <w:pPr>
        <w:jc w:val="both"/>
        <w:rPr>
          <w:rFonts w:ascii="Didot" w:hAnsi="Didot" w:cs="Didot"/>
          <w:sz w:val="22"/>
          <w:szCs w:val="22"/>
        </w:rPr>
      </w:pPr>
      <w:r w:rsidRPr="008B4D4B">
        <w:rPr>
          <w:rFonts w:ascii="Didot" w:hAnsi="Didot" w:cs="Didot"/>
          <w:sz w:val="22"/>
          <w:szCs w:val="22"/>
        </w:rPr>
        <w:t xml:space="preserve">There are many different forms of what is called and thought of as “organized crime.”  Not addressed here are a number of groups or organizations that engage in violent crime, but that do so as only a part of a larger political, social, or ideological agenda. These include, for example, terrorist organizations, militias/revolutionary groups such as the FARC in Colombia, hate groups such as the Aryan Brotherhood, and various neo-Nazi groups. Given the varied and complex nature of their agendas and purposes, such groups are not typically considered to be forms of organized crime as traditionally defined.  </w:t>
      </w:r>
    </w:p>
    <w:p w14:paraId="35D7DA63" w14:textId="77777777" w:rsidR="00C33C84" w:rsidRPr="008B4D4B" w:rsidRDefault="00C33C84" w:rsidP="008A7E29">
      <w:pPr>
        <w:jc w:val="both"/>
        <w:rPr>
          <w:rFonts w:ascii="Didot" w:hAnsi="Didot" w:cs="Didot"/>
          <w:sz w:val="22"/>
          <w:szCs w:val="22"/>
        </w:rPr>
      </w:pPr>
      <w:r w:rsidRPr="008B4D4B">
        <w:rPr>
          <w:rFonts w:ascii="Didot" w:hAnsi="Didot" w:cs="Didot"/>
          <w:sz w:val="22"/>
          <w:szCs w:val="22"/>
        </w:rPr>
        <w:t xml:space="preserve">These exclusions narrow the field considerably, but still leave a range of groups that engage in criminal violence.   I will here focus on two prototypical examples within that range for purposes of illustration, as well as for the consideration of the effectiveness of intervention strategies to deal with them. </w:t>
      </w:r>
    </w:p>
    <w:p w14:paraId="34E1CBB3" w14:textId="77777777" w:rsidR="00C33C84" w:rsidRPr="008B4D4B" w:rsidRDefault="00C33C84" w:rsidP="008A7E29">
      <w:pPr>
        <w:jc w:val="both"/>
        <w:rPr>
          <w:rFonts w:ascii="Didot" w:hAnsi="Didot" w:cs="Didot"/>
          <w:sz w:val="22"/>
          <w:szCs w:val="22"/>
        </w:rPr>
      </w:pPr>
    </w:p>
    <w:p w14:paraId="555073A8" w14:textId="77777777" w:rsidR="00C33C84" w:rsidRPr="008B4D4B" w:rsidRDefault="00C33C84" w:rsidP="008A7E29">
      <w:pPr>
        <w:jc w:val="both"/>
        <w:rPr>
          <w:rFonts w:ascii="Didot" w:hAnsi="Didot" w:cs="Didot"/>
          <w:b/>
          <w:sz w:val="22"/>
          <w:szCs w:val="22"/>
        </w:rPr>
      </w:pPr>
      <w:r w:rsidRPr="008B4D4B">
        <w:rPr>
          <w:rFonts w:ascii="Didot" w:hAnsi="Didot" w:cs="Didot"/>
          <w:b/>
          <w:sz w:val="22"/>
          <w:szCs w:val="22"/>
        </w:rPr>
        <w:t>The Nature of Criminal Groups</w:t>
      </w:r>
    </w:p>
    <w:p w14:paraId="0A71E7E0" w14:textId="77777777" w:rsidR="00C33C84" w:rsidRPr="008B4D4B" w:rsidRDefault="00C33C84" w:rsidP="008A7E29">
      <w:pPr>
        <w:jc w:val="both"/>
        <w:rPr>
          <w:rFonts w:ascii="Didot" w:hAnsi="Didot" w:cs="Didot"/>
          <w:b/>
          <w:sz w:val="22"/>
          <w:szCs w:val="22"/>
        </w:rPr>
      </w:pPr>
      <w:r w:rsidRPr="008B4D4B">
        <w:rPr>
          <w:rFonts w:ascii="Didot" w:hAnsi="Didot" w:cs="Didot"/>
          <w:b/>
          <w:sz w:val="22"/>
          <w:szCs w:val="22"/>
        </w:rPr>
        <w:t>And Violence</w:t>
      </w:r>
    </w:p>
    <w:p w14:paraId="4ED928CF" w14:textId="77777777" w:rsidR="00C33C84" w:rsidRPr="008B4D4B" w:rsidRDefault="00C33C84" w:rsidP="008A7E29">
      <w:pPr>
        <w:jc w:val="both"/>
        <w:rPr>
          <w:rFonts w:ascii="Didot" w:hAnsi="Didot" w:cs="Didot"/>
          <w:sz w:val="22"/>
          <w:szCs w:val="22"/>
        </w:rPr>
      </w:pPr>
    </w:p>
    <w:p w14:paraId="7BFF5C05" w14:textId="77777777" w:rsidR="00C33C84" w:rsidRPr="008B4D4B" w:rsidRDefault="00C33C84" w:rsidP="008A7E29">
      <w:pPr>
        <w:jc w:val="both"/>
        <w:rPr>
          <w:rFonts w:ascii="Didot" w:hAnsi="Didot" w:cs="Didot"/>
          <w:sz w:val="22"/>
          <w:szCs w:val="22"/>
        </w:rPr>
      </w:pPr>
      <w:r w:rsidRPr="008B4D4B">
        <w:rPr>
          <w:rFonts w:ascii="Didot" w:hAnsi="Didot" w:cs="Didot"/>
          <w:sz w:val="22"/>
          <w:szCs w:val="22"/>
        </w:rPr>
        <w:t xml:space="preserve">Violence and the threat of violence is a critically important dimension of what I call “true” </w:t>
      </w:r>
      <w:r w:rsidRPr="008B4D4B">
        <w:rPr>
          <w:rFonts w:ascii="Didot" w:hAnsi="Didot" w:cs="Didot"/>
          <w:i/>
          <w:sz w:val="22"/>
          <w:szCs w:val="22"/>
        </w:rPr>
        <w:t>Organized Crime</w:t>
      </w:r>
      <w:r w:rsidRPr="008B4D4B">
        <w:rPr>
          <w:rFonts w:ascii="Didot" w:hAnsi="Didot" w:cs="Didot"/>
          <w:sz w:val="22"/>
          <w:szCs w:val="22"/>
        </w:rPr>
        <w:t xml:space="preserve">. Killings, beatings, burnings and destruction are used against other criminals and against victims who do not pay for their drugs, pay off their bets or pay back their loans.  Violence is also used to frighten and intimidate extortion victims and potential competitors.  This kind of violence is </w:t>
      </w:r>
      <w:r w:rsidRPr="008B4D4B">
        <w:rPr>
          <w:rFonts w:ascii="Didot" w:hAnsi="Didot" w:cs="Didot"/>
          <w:b/>
          <w:sz w:val="22"/>
          <w:szCs w:val="22"/>
        </w:rPr>
        <w:t>instrumental</w:t>
      </w:r>
      <w:r w:rsidRPr="008B4D4B">
        <w:rPr>
          <w:rFonts w:ascii="Didot" w:hAnsi="Didot" w:cs="Didot"/>
          <w:sz w:val="22"/>
          <w:szCs w:val="22"/>
        </w:rPr>
        <w:t xml:space="preserve"> and utilitarian in that it is used to accomplish a business purpose.  Indeed, it is inherent in organized crime’s business operations; and the key word here is inherent.  As I have noted elsewhere, one of the essential defining characteristics of </w:t>
      </w:r>
      <w:r w:rsidRPr="008B4D4B">
        <w:rPr>
          <w:rFonts w:ascii="Didot" w:hAnsi="Didot" w:cs="Didot"/>
          <w:i/>
          <w:sz w:val="22"/>
          <w:szCs w:val="22"/>
        </w:rPr>
        <w:t xml:space="preserve">Organized Crime </w:t>
      </w:r>
      <w:r w:rsidRPr="008B4D4B">
        <w:rPr>
          <w:rFonts w:ascii="Didot" w:hAnsi="Didot" w:cs="Didot"/>
          <w:sz w:val="22"/>
          <w:szCs w:val="22"/>
        </w:rPr>
        <w:t>is “the ability to use, or a reputation for use of, violence or the threat of violence to facilitate criminal activities, and in certain instances to gain or maintain monopoly control of particular criminal markets”</w:t>
      </w:r>
      <w:proofErr w:type="gramStart"/>
      <w:r w:rsidRPr="008B4D4B">
        <w:rPr>
          <w:rFonts w:ascii="Didot" w:hAnsi="Didot" w:cs="Didot"/>
          <w:sz w:val="22"/>
          <w:szCs w:val="22"/>
        </w:rPr>
        <w:t xml:space="preserve"> (Finckenauer:.</w:t>
      </w:r>
      <w:proofErr w:type="gramEnd"/>
      <w:r w:rsidRPr="008B4D4B">
        <w:rPr>
          <w:rFonts w:ascii="Didot" w:hAnsi="Didot" w:cs="Didot"/>
          <w:sz w:val="22"/>
          <w:szCs w:val="22"/>
        </w:rPr>
        <w:t xml:space="preserve"> 29).  “Reputation for” and “threat of” violence are important nuances here, because as studies suggest some Criminal Organizations (COs) engage in “violence-avoidance” whenever possible, because violence attracts attention and is bad for business (See, e.g., Pearson, Geoffrey and Hobbs, 2001; and Desroches, 2003).  This supports the idea of violence being instrumental for a business purpose, and thus being used only selectively.  Once the authority of reputation has been established, actual violence may no longer be as necessary.</w:t>
      </w:r>
    </w:p>
    <w:p w14:paraId="0E7A2F52" w14:textId="77777777" w:rsidR="00C33C84" w:rsidRPr="008B4D4B" w:rsidRDefault="00C33C84" w:rsidP="008A7E29">
      <w:pPr>
        <w:jc w:val="both"/>
        <w:rPr>
          <w:rFonts w:ascii="Didot" w:hAnsi="Didot" w:cs="Didot"/>
          <w:sz w:val="22"/>
          <w:szCs w:val="22"/>
        </w:rPr>
      </w:pPr>
    </w:p>
    <w:p w14:paraId="007607E1" w14:textId="77777777" w:rsidR="00C33C84" w:rsidRPr="008B4D4B" w:rsidRDefault="00C33C84" w:rsidP="008A7E29">
      <w:pPr>
        <w:jc w:val="both"/>
        <w:rPr>
          <w:rFonts w:ascii="Didot" w:hAnsi="Didot" w:cs="Didot"/>
          <w:sz w:val="22"/>
          <w:szCs w:val="22"/>
        </w:rPr>
      </w:pPr>
      <w:r w:rsidRPr="008B4D4B">
        <w:rPr>
          <w:rFonts w:ascii="Didot" w:hAnsi="Didot" w:cs="Didot"/>
          <w:sz w:val="22"/>
          <w:szCs w:val="22"/>
        </w:rPr>
        <w:t xml:space="preserve">Irrespective of the frequency of actual use, because instrumental violence is innate and at the core of criminal enterprises, it cannot be separated from those enterprises.  Combating it thus requires interventions that target the various enterprises and criminal markets themselves.  Criminal organizations (COs) of the true Organized Crime type include La Cosa Nostra in the US, Outlaw Motorcycle </w:t>
      </w:r>
      <w:r w:rsidRPr="008B4D4B">
        <w:rPr>
          <w:rFonts w:ascii="Didot" w:hAnsi="Didot" w:cs="Didot"/>
          <w:sz w:val="22"/>
          <w:szCs w:val="22"/>
        </w:rPr>
        <w:lastRenderedPageBreak/>
        <w:t xml:space="preserve">Gangs such as Hells Angels that have chapters in many countries, the Russian Solntsevskaya, Japanese Yakuza, and the Mexican Zetas, among numerous others.  </w:t>
      </w:r>
    </w:p>
    <w:p w14:paraId="4B18E0DC" w14:textId="77777777" w:rsidR="00C33C84" w:rsidRPr="008B4D4B" w:rsidRDefault="00C33C84" w:rsidP="008A7E29">
      <w:pPr>
        <w:jc w:val="both"/>
        <w:rPr>
          <w:rFonts w:ascii="Didot" w:hAnsi="Didot" w:cs="Didot"/>
          <w:sz w:val="22"/>
          <w:szCs w:val="22"/>
        </w:rPr>
      </w:pPr>
    </w:p>
    <w:p w14:paraId="14773284" w14:textId="77777777" w:rsidR="00C33C84" w:rsidRPr="008B4D4B" w:rsidRDefault="00C33C84" w:rsidP="008A7E29">
      <w:pPr>
        <w:autoSpaceDE w:val="0"/>
        <w:autoSpaceDN w:val="0"/>
        <w:adjustRightInd w:val="0"/>
        <w:jc w:val="both"/>
        <w:rPr>
          <w:rFonts w:ascii="Didot" w:hAnsi="Didot" w:cs="Didot"/>
          <w:sz w:val="22"/>
          <w:szCs w:val="22"/>
        </w:rPr>
      </w:pPr>
      <w:r w:rsidRPr="008B4D4B">
        <w:rPr>
          <w:rFonts w:ascii="Didot" w:hAnsi="Didot" w:cs="Didot"/>
          <w:sz w:val="22"/>
          <w:szCs w:val="22"/>
        </w:rPr>
        <w:t xml:space="preserve">The other prototype of a violent criminal group is urban street gangs.  Unlike the predominantly instrumental violence of the aforementioned groups, these gangs frequently engage in </w:t>
      </w:r>
      <w:r w:rsidRPr="008B4D4B">
        <w:rPr>
          <w:rFonts w:ascii="Didot" w:hAnsi="Didot" w:cs="Didot"/>
          <w:b/>
          <w:sz w:val="22"/>
          <w:szCs w:val="22"/>
        </w:rPr>
        <w:t xml:space="preserve">gratuitous </w:t>
      </w:r>
      <w:r w:rsidRPr="008B4D4B">
        <w:rPr>
          <w:rFonts w:ascii="Didot" w:hAnsi="Didot" w:cs="Didot"/>
          <w:sz w:val="22"/>
          <w:szCs w:val="22"/>
        </w:rPr>
        <w:t xml:space="preserve">violence </w:t>
      </w:r>
      <w:proofErr w:type="gramStart"/>
      <w:r w:rsidRPr="008B4D4B">
        <w:rPr>
          <w:rFonts w:ascii="Didot" w:hAnsi="Didot" w:cs="Didot"/>
          <w:sz w:val="22"/>
          <w:szCs w:val="22"/>
        </w:rPr>
        <w:t>-- that</w:t>
      </w:r>
      <w:proofErr w:type="gramEnd"/>
      <w:r w:rsidRPr="008B4D4B">
        <w:rPr>
          <w:rFonts w:ascii="Didot" w:hAnsi="Didot" w:cs="Didot"/>
          <w:sz w:val="22"/>
          <w:szCs w:val="22"/>
        </w:rPr>
        <w:t xml:space="preserve"> is violence as an end in itself. NYPD Commissioner William Bratton has referred to this as violence for the sake of violence.  Gang members are socialized to embrace violent attitudes and norms. This subculture results in a street identity that is characterized by bravado and aggressiveness. Hallsworth (2013) describes the mostly young, male gang members as using violence to “assert and affirm their masculine identity” (p. 160).</w:t>
      </w:r>
    </w:p>
    <w:p w14:paraId="3BD9A1AF" w14:textId="77777777" w:rsidR="00C33C84" w:rsidRPr="008B4D4B" w:rsidRDefault="00C33C84" w:rsidP="008A7E29">
      <w:pPr>
        <w:autoSpaceDE w:val="0"/>
        <w:autoSpaceDN w:val="0"/>
        <w:adjustRightInd w:val="0"/>
        <w:jc w:val="both"/>
        <w:rPr>
          <w:rFonts w:ascii="Didot" w:hAnsi="Didot" w:cs="Didot"/>
          <w:sz w:val="22"/>
          <w:szCs w:val="22"/>
        </w:rPr>
      </w:pPr>
    </w:p>
    <w:p w14:paraId="271C851A" w14:textId="77777777" w:rsidR="00C33C84" w:rsidRPr="008B4D4B" w:rsidRDefault="00C33C84" w:rsidP="008A7E29">
      <w:pPr>
        <w:autoSpaceDE w:val="0"/>
        <w:autoSpaceDN w:val="0"/>
        <w:adjustRightInd w:val="0"/>
        <w:jc w:val="both"/>
        <w:rPr>
          <w:rFonts w:ascii="Didot" w:hAnsi="Didot" w:cs="Didot"/>
          <w:sz w:val="22"/>
          <w:szCs w:val="22"/>
        </w:rPr>
      </w:pPr>
      <w:r w:rsidRPr="008B4D4B">
        <w:rPr>
          <w:rFonts w:ascii="Didot" w:hAnsi="Didot" w:cs="Didot"/>
          <w:sz w:val="22"/>
          <w:szCs w:val="22"/>
        </w:rPr>
        <w:t xml:space="preserve">In a paper entitled </w:t>
      </w:r>
      <w:r w:rsidRPr="008B4D4B">
        <w:rPr>
          <w:rFonts w:ascii="Didot" w:hAnsi="Didot" w:cs="Didot"/>
          <w:i/>
          <w:sz w:val="22"/>
          <w:szCs w:val="22"/>
        </w:rPr>
        <w:t xml:space="preserve">Gangs 101: Understanding the Culture of Youth Violence </w:t>
      </w:r>
      <w:r w:rsidRPr="008B4D4B">
        <w:rPr>
          <w:rFonts w:ascii="Didot" w:hAnsi="Didot" w:cs="Didot"/>
          <w:sz w:val="22"/>
          <w:szCs w:val="22"/>
        </w:rPr>
        <w:t>(</w:t>
      </w:r>
      <w:hyperlink r:id="rId17" w:history="1">
        <w:r w:rsidRPr="008B4D4B">
          <w:rPr>
            <w:rStyle w:val="Hyperlink"/>
            <w:rFonts w:ascii="Didot" w:hAnsi="Didot" w:cs="Didot"/>
            <w:sz w:val="22"/>
            <w:szCs w:val="22"/>
          </w:rPr>
          <w:t>www.esperanza.us</w:t>
        </w:r>
      </w:hyperlink>
      <w:r w:rsidRPr="008B4D4B">
        <w:rPr>
          <w:rFonts w:ascii="Didot" w:hAnsi="Didot" w:cs="Didot"/>
          <w:sz w:val="22"/>
          <w:szCs w:val="22"/>
        </w:rPr>
        <w:t>) the purposes of gang violence are outlined as follows:</w:t>
      </w:r>
    </w:p>
    <w:p w14:paraId="0C2AF7B6" w14:textId="77777777" w:rsidR="00C33C84" w:rsidRPr="008B4D4B" w:rsidRDefault="00C33C84" w:rsidP="008A7E29">
      <w:pPr>
        <w:autoSpaceDE w:val="0"/>
        <w:autoSpaceDN w:val="0"/>
        <w:adjustRightInd w:val="0"/>
        <w:ind w:firstLine="720"/>
        <w:jc w:val="both"/>
        <w:rPr>
          <w:rFonts w:ascii="Didot" w:hAnsi="Didot" w:cs="Didot"/>
          <w:sz w:val="22"/>
          <w:szCs w:val="22"/>
        </w:rPr>
      </w:pPr>
      <w:r w:rsidRPr="008B4D4B">
        <w:rPr>
          <w:rFonts w:ascii="Didot" w:hAnsi="Didot" w:cs="Didot"/>
          <w:sz w:val="22"/>
          <w:szCs w:val="22"/>
        </w:rPr>
        <w:t>Violence is used within the gang to:</w:t>
      </w:r>
    </w:p>
    <w:p w14:paraId="676DBC9C" w14:textId="77777777" w:rsidR="00C33C84" w:rsidRPr="008B4D4B" w:rsidRDefault="00C33C84" w:rsidP="008A7E29">
      <w:pPr>
        <w:autoSpaceDE w:val="0"/>
        <w:autoSpaceDN w:val="0"/>
        <w:adjustRightInd w:val="0"/>
        <w:jc w:val="both"/>
        <w:rPr>
          <w:rFonts w:ascii="Didot" w:hAnsi="Didot" w:cs="Didot"/>
          <w:sz w:val="22"/>
          <w:szCs w:val="22"/>
        </w:rPr>
      </w:pPr>
    </w:p>
    <w:p w14:paraId="77E98F0D" w14:textId="77777777" w:rsidR="00C33C84" w:rsidRPr="008B4D4B" w:rsidRDefault="00C33C84" w:rsidP="008A7E29">
      <w:pPr>
        <w:autoSpaceDE w:val="0"/>
        <w:autoSpaceDN w:val="0"/>
        <w:adjustRightInd w:val="0"/>
        <w:ind w:left="1440"/>
        <w:jc w:val="both"/>
        <w:rPr>
          <w:rFonts w:ascii="Didot" w:hAnsi="Didot" w:cs="Didot"/>
          <w:sz w:val="22"/>
          <w:szCs w:val="22"/>
        </w:rPr>
      </w:pPr>
      <w:r w:rsidRPr="008B4D4B">
        <w:rPr>
          <w:rFonts w:ascii="Didot" w:hAnsi="Didot" w:cs="Didot"/>
          <w:sz w:val="22"/>
          <w:szCs w:val="22"/>
        </w:rPr>
        <w:t>• Defend or expand gang turf</w:t>
      </w:r>
    </w:p>
    <w:p w14:paraId="5621D284" w14:textId="77777777" w:rsidR="00C33C84" w:rsidRPr="008B4D4B" w:rsidRDefault="00C33C84" w:rsidP="008A7E29">
      <w:pPr>
        <w:autoSpaceDE w:val="0"/>
        <w:autoSpaceDN w:val="0"/>
        <w:adjustRightInd w:val="0"/>
        <w:ind w:left="1440"/>
        <w:jc w:val="both"/>
        <w:rPr>
          <w:rFonts w:ascii="Didot" w:hAnsi="Didot" w:cs="Didot"/>
          <w:sz w:val="22"/>
          <w:szCs w:val="22"/>
        </w:rPr>
      </w:pPr>
      <w:r w:rsidRPr="008B4D4B">
        <w:rPr>
          <w:rFonts w:ascii="Didot" w:hAnsi="Didot" w:cs="Didot"/>
          <w:sz w:val="22"/>
          <w:szCs w:val="22"/>
        </w:rPr>
        <w:t>• Recruit new members</w:t>
      </w:r>
    </w:p>
    <w:p w14:paraId="6A960843" w14:textId="77777777" w:rsidR="00C33C84" w:rsidRPr="008B4D4B" w:rsidRDefault="00C33C84" w:rsidP="008A7E29">
      <w:pPr>
        <w:autoSpaceDE w:val="0"/>
        <w:autoSpaceDN w:val="0"/>
        <w:adjustRightInd w:val="0"/>
        <w:ind w:left="1440"/>
        <w:jc w:val="both"/>
        <w:rPr>
          <w:rFonts w:ascii="Didot" w:hAnsi="Didot" w:cs="Didot"/>
          <w:sz w:val="22"/>
          <w:szCs w:val="22"/>
        </w:rPr>
      </w:pPr>
      <w:r w:rsidRPr="008B4D4B">
        <w:rPr>
          <w:rFonts w:ascii="Didot" w:hAnsi="Didot" w:cs="Didot"/>
          <w:sz w:val="22"/>
          <w:szCs w:val="22"/>
        </w:rPr>
        <w:t>• Keep members from leaving</w:t>
      </w:r>
    </w:p>
    <w:p w14:paraId="18C7EB47" w14:textId="77777777" w:rsidR="00C33C84" w:rsidRPr="008B4D4B" w:rsidRDefault="00C33C84" w:rsidP="008A7E29">
      <w:pPr>
        <w:autoSpaceDE w:val="0"/>
        <w:autoSpaceDN w:val="0"/>
        <w:adjustRightInd w:val="0"/>
        <w:ind w:left="1440"/>
        <w:jc w:val="both"/>
        <w:rPr>
          <w:rFonts w:ascii="Didot" w:hAnsi="Didot" w:cs="Didot"/>
          <w:sz w:val="22"/>
          <w:szCs w:val="22"/>
        </w:rPr>
      </w:pPr>
      <w:r w:rsidRPr="008B4D4B">
        <w:rPr>
          <w:rFonts w:ascii="Didot" w:hAnsi="Didot" w:cs="Didot"/>
          <w:sz w:val="22"/>
          <w:szCs w:val="22"/>
        </w:rPr>
        <w:t>• Exclude or remove undesirable members</w:t>
      </w:r>
    </w:p>
    <w:p w14:paraId="4899BCB6" w14:textId="77777777" w:rsidR="00C33C84" w:rsidRPr="008B4D4B" w:rsidRDefault="00C33C84" w:rsidP="008A7E29">
      <w:pPr>
        <w:autoSpaceDE w:val="0"/>
        <w:autoSpaceDN w:val="0"/>
        <w:adjustRightInd w:val="0"/>
        <w:ind w:left="1440"/>
        <w:jc w:val="both"/>
        <w:rPr>
          <w:rFonts w:ascii="Didot" w:hAnsi="Didot" w:cs="Didot"/>
          <w:sz w:val="22"/>
          <w:szCs w:val="22"/>
        </w:rPr>
      </w:pPr>
      <w:r w:rsidRPr="008B4D4B">
        <w:rPr>
          <w:rFonts w:ascii="Didot" w:hAnsi="Didot" w:cs="Didot"/>
          <w:sz w:val="22"/>
          <w:szCs w:val="22"/>
        </w:rPr>
        <w:t>• Exercise revenge or seek redress for actual or perceived wrongs, no matter how slight they might be</w:t>
      </w:r>
    </w:p>
    <w:p w14:paraId="4CE97B9E" w14:textId="77777777" w:rsidR="00C33C84" w:rsidRPr="008B4D4B" w:rsidRDefault="00C33C84" w:rsidP="008A7E29">
      <w:pPr>
        <w:autoSpaceDE w:val="0"/>
        <w:autoSpaceDN w:val="0"/>
        <w:adjustRightInd w:val="0"/>
        <w:ind w:left="1440"/>
        <w:jc w:val="both"/>
        <w:rPr>
          <w:rFonts w:ascii="Didot" w:hAnsi="Didot" w:cs="Didot"/>
          <w:sz w:val="22"/>
          <w:szCs w:val="22"/>
        </w:rPr>
      </w:pPr>
      <w:r w:rsidRPr="008B4D4B">
        <w:rPr>
          <w:rFonts w:ascii="Didot" w:hAnsi="Didot" w:cs="Didot"/>
          <w:sz w:val="22"/>
          <w:szCs w:val="22"/>
        </w:rPr>
        <w:t>• Enhance perceptions of power and invincibility</w:t>
      </w:r>
    </w:p>
    <w:p w14:paraId="34382CA6" w14:textId="77777777" w:rsidR="00C33C84" w:rsidRPr="008B4D4B" w:rsidRDefault="00C33C84" w:rsidP="008A7E29">
      <w:pPr>
        <w:autoSpaceDE w:val="0"/>
        <w:autoSpaceDN w:val="0"/>
        <w:adjustRightInd w:val="0"/>
        <w:ind w:left="1440"/>
        <w:jc w:val="both"/>
        <w:rPr>
          <w:rFonts w:ascii="Didot" w:hAnsi="Didot" w:cs="Didot"/>
          <w:sz w:val="22"/>
          <w:szCs w:val="22"/>
        </w:rPr>
      </w:pPr>
      <w:r w:rsidRPr="008B4D4B">
        <w:rPr>
          <w:rFonts w:ascii="Didot" w:hAnsi="Didot" w:cs="Didot"/>
          <w:sz w:val="22"/>
          <w:szCs w:val="22"/>
        </w:rPr>
        <w:t>• Gain respect or dominance over others</w:t>
      </w:r>
    </w:p>
    <w:p w14:paraId="6A15A462" w14:textId="77777777" w:rsidR="00C33C84" w:rsidRPr="008B4D4B" w:rsidRDefault="00C33C84" w:rsidP="008A7E29">
      <w:pPr>
        <w:ind w:left="1440"/>
        <w:jc w:val="both"/>
        <w:rPr>
          <w:rFonts w:ascii="Didot" w:hAnsi="Didot" w:cs="Didot"/>
          <w:sz w:val="22"/>
          <w:szCs w:val="22"/>
        </w:rPr>
      </w:pPr>
      <w:r w:rsidRPr="008B4D4B">
        <w:rPr>
          <w:rFonts w:ascii="Didot" w:hAnsi="Didot" w:cs="Didot"/>
          <w:sz w:val="22"/>
          <w:szCs w:val="22"/>
        </w:rPr>
        <w:t>• Enforce rules.</w:t>
      </w:r>
    </w:p>
    <w:p w14:paraId="5B5039C3" w14:textId="77777777" w:rsidR="00C33C84" w:rsidRPr="008B4D4B" w:rsidRDefault="00C33C84" w:rsidP="008A7E29">
      <w:pPr>
        <w:autoSpaceDE w:val="0"/>
        <w:autoSpaceDN w:val="0"/>
        <w:adjustRightInd w:val="0"/>
        <w:jc w:val="both"/>
        <w:rPr>
          <w:rFonts w:ascii="Didot" w:hAnsi="Didot" w:cs="Didot"/>
          <w:b/>
          <w:sz w:val="22"/>
          <w:szCs w:val="22"/>
        </w:rPr>
      </w:pPr>
    </w:p>
    <w:p w14:paraId="2FC4D8D7" w14:textId="77777777" w:rsidR="00C33C84" w:rsidRPr="008B4D4B" w:rsidRDefault="00C33C84" w:rsidP="008A7E29">
      <w:pPr>
        <w:autoSpaceDE w:val="0"/>
        <w:autoSpaceDN w:val="0"/>
        <w:adjustRightInd w:val="0"/>
        <w:jc w:val="both"/>
        <w:rPr>
          <w:rFonts w:ascii="Didot" w:hAnsi="Didot" w:cs="Didot"/>
          <w:b/>
          <w:sz w:val="22"/>
          <w:szCs w:val="22"/>
        </w:rPr>
      </w:pPr>
      <w:r w:rsidRPr="008B4D4B">
        <w:rPr>
          <w:rFonts w:ascii="Didot" w:hAnsi="Didot" w:cs="Didot"/>
          <w:b/>
          <w:sz w:val="22"/>
          <w:szCs w:val="22"/>
        </w:rPr>
        <w:t>Interventions</w:t>
      </w:r>
    </w:p>
    <w:p w14:paraId="2DBF7245" w14:textId="77777777" w:rsidR="00C33C84" w:rsidRPr="008B4D4B" w:rsidRDefault="00C33C84" w:rsidP="008A7E29">
      <w:pPr>
        <w:autoSpaceDE w:val="0"/>
        <w:autoSpaceDN w:val="0"/>
        <w:adjustRightInd w:val="0"/>
        <w:jc w:val="both"/>
        <w:rPr>
          <w:rFonts w:ascii="Didot" w:hAnsi="Didot" w:cs="Didot"/>
          <w:b/>
          <w:sz w:val="22"/>
          <w:szCs w:val="22"/>
        </w:rPr>
      </w:pPr>
    </w:p>
    <w:p w14:paraId="248F8374" w14:textId="77777777" w:rsidR="00C33C84" w:rsidRPr="008B4D4B" w:rsidRDefault="00C33C84" w:rsidP="008A7E29">
      <w:pPr>
        <w:autoSpaceDE w:val="0"/>
        <w:autoSpaceDN w:val="0"/>
        <w:adjustRightInd w:val="0"/>
        <w:jc w:val="both"/>
        <w:rPr>
          <w:rFonts w:ascii="Didot" w:hAnsi="Didot" w:cs="Didot"/>
          <w:sz w:val="22"/>
          <w:szCs w:val="22"/>
        </w:rPr>
      </w:pPr>
      <w:r w:rsidRPr="008B4D4B">
        <w:rPr>
          <w:rFonts w:ascii="Didot" w:hAnsi="Didot" w:cs="Didot"/>
          <w:sz w:val="22"/>
          <w:szCs w:val="22"/>
        </w:rPr>
        <w:t xml:space="preserve">Whereas </w:t>
      </w:r>
      <w:proofErr w:type="gramStart"/>
      <w:r w:rsidRPr="008B4D4B">
        <w:rPr>
          <w:rFonts w:ascii="Didot" w:hAnsi="Didot" w:cs="Didot"/>
          <w:sz w:val="22"/>
          <w:szCs w:val="22"/>
        </w:rPr>
        <w:t>COs  have</w:t>
      </w:r>
      <w:proofErr w:type="gramEnd"/>
      <w:r w:rsidRPr="008B4D4B">
        <w:rPr>
          <w:rFonts w:ascii="Didot" w:hAnsi="Didot" w:cs="Didot"/>
          <w:sz w:val="22"/>
          <w:szCs w:val="22"/>
        </w:rPr>
        <w:t xml:space="preserve"> a larger reach, are more criminally sophisticated and have greater continuity over time and crimes, urban street gangs tend to be more locally, neighborhood focused – both in terms of where they live and hangout, and in terms of their criminal activity -- and are thus more easily (and as it turns out more effectively) targeted than the COs.</w:t>
      </w:r>
    </w:p>
    <w:p w14:paraId="30B2D06F" w14:textId="77777777" w:rsidR="00C33C84" w:rsidRPr="008B4D4B" w:rsidRDefault="00C33C84" w:rsidP="008A7E29">
      <w:pPr>
        <w:autoSpaceDE w:val="0"/>
        <w:autoSpaceDN w:val="0"/>
        <w:adjustRightInd w:val="0"/>
        <w:jc w:val="both"/>
        <w:rPr>
          <w:rFonts w:ascii="Didot" w:hAnsi="Didot" w:cs="Didot"/>
          <w:color w:val="00000A"/>
          <w:sz w:val="22"/>
          <w:szCs w:val="22"/>
        </w:rPr>
      </w:pPr>
      <w:r w:rsidRPr="008B4D4B">
        <w:rPr>
          <w:rFonts w:ascii="Didot" w:hAnsi="Didot" w:cs="Didot"/>
          <w:sz w:val="22"/>
          <w:szCs w:val="22"/>
        </w:rPr>
        <w:t xml:space="preserve">Keeping in mind the need for an approach to combating the violence of COs that must be multi-targeted, we can briefly look at two contrasting strategies recently described by Ayling (2014).  Ayling compares and contrasts approaches used in Australia and the Netherlands.   She describes the dominant strategy in Australia as one of seeking to “disrupt the </w:t>
      </w:r>
      <w:r w:rsidRPr="008B4D4B">
        <w:rPr>
          <w:rFonts w:ascii="Didot" w:hAnsi="Didot" w:cs="Didot"/>
          <w:color w:val="00000A"/>
          <w:sz w:val="22"/>
          <w:szCs w:val="22"/>
        </w:rPr>
        <w:t xml:space="preserve">structure of criminal groups through anti-associations provisions.” The main target there has been outlaw motorcycle gangs regarded as being particularly dangerous. In effect, membership in certain defined organizations (those for example associated with violence) is criminalized.  Criminal penalties are then prescribed for violation of court-imposed civil instruments and control orders.  I should add that this would be a very questionable strategy – as to its legality – in the US.  </w:t>
      </w:r>
    </w:p>
    <w:p w14:paraId="56F2FD40" w14:textId="77777777" w:rsidR="00C33C84" w:rsidRPr="008B4D4B" w:rsidRDefault="00C33C84" w:rsidP="008A7E29">
      <w:pPr>
        <w:autoSpaceDE w:val="0"/>
        <w:autoSpaceDN w:val="0"/>
        <w:adjustRightInd w:val="0"/>
        <w:jc w:val="both"/>
        <w:rPr>
          <w:rFonts w:ascii="Didot" w:eastAsia="Times New Roman" w:hAnsi="Didot" w:cs="Didot"/>
          <w:sz w:val="22"/>
          <w:szCs w:val="22"/>
        </w:rPr>
      </w:pPr>
      <w:r w:rsidRPr="008B4D4B">
        <w:rPr>
          <w:rFonts w:ascii="Didot" w:eastAsia="Times New Roman" w:hAnsi="Didot" w:cs="Didot"/>
          <w:sz w:val="22"/>
          <w:szCs w:val="22"/>
        </w:rPr>
        <w:t>In contrast, t</w:t>
      </w:r>
      <w:r w:rsidRPr="008B4D4B">
        <w:rPr>
          <w:rFonts w:ascii="Didot" w:hAnsi="Didot" w:cs="Didot"/>
          <w:color w:val="00000A"/>
          <w:sz w:val="22"/>
          <w:szCs w:val="22"/>
        </w:rPr>
        <w:t xml:space="preserve">he Dutch administrative approach employs a variation of situational crime prevention in which “regulatory and criminal justice measures complement each other, and [target] organised criminal activities more generally.”  In brief, the regulatory and licensing powers of various government agencies are used to prevent the infiltration of businesses by COs.  In this way, the whole of the government </w:t>
      </w:r>
      <w:r w:rsidRPr="008B4D4B">
        <w:rPr>
          <w:rFonts w:ascii="Didot" w:hAnsi="Didot" w:cs="Didot"/>
          <w:color w:val="00000A"/>
          <w:sz w:val="22"/>
          <w:szCs w:val="22"/>
        </w:rPr>
        <w:lastRenderedPageBreak/>
        <w:t>bureaucracy can be brought into play, rather than relying only on criminal justice responses.</w:t>
      </w:r>
    </w:p>
    <w:p w14:paraId="42EA72AA" w14:textId="77777777" w:rsidR="00C33C84" w:rsidRPr="008B4D4B" w:rsidRDefault="00C33C84" w:rsidP="008A7E29">
      <w:pPr>
        <w:autoSpaceDE w:val="0"/>
        <w:autoSpaceDN w:val="0"/>
        <w:adjustRightInd w:val="0"/>
        <w:jc w:val="both"/>
        <w:rPr>
          <w:rFonts w:ascii="Didot" w:hAnsi="Didot" w:cs="Didot"/>
          <w:color w:val="00000A"/>
          <w:sz w:val="22"/>
          <w:szCs w:val="22"/>
        </w:rPr>
      </w:pPr>
      <w:r w:rsidRPr="008B4D4B">
        <w:rPr>
          <w:rFonts w:ascii="Didot" w:hAnsi="Didot" w:cs="Didot"/>
          <w:color w:val="00000A"/>
          <w:sz w:val="22"/>
          <w:szCs w:val="22"/>
        </w:rPr>
        <w:t xml:space="preserve">As for their comparative effectiveness, Ayling suggests that although the Dutch approach is “far from perfect. It does </w:t>
      </w:r>
      <w:proofErr w:type="gramStart"/>
      <w:r w:rsidRPr="008B4D4B">
        <w:rPr>
          <w:rFonts w:ascii="Didot" w:hAnsi="Didot" w:cs="Didot"/>
          <w:color w:val="00000A"/>
          <w:sz w:val="22"/>
          <w:szCs w:val="22"/>
        </w:rPr>
        <w:t>…provide</w:t>
      </w:r>
      <w:proofErr w:type="gramEnd"/>
      <w:r w:rsidRPr="008B4D4B">
        <w:rPr>
          <w:rFonts w:ascii="Didot" w:hAnsi="Didot" w:cs="Didot"/>
          <w:color w:val="00000A"/>
          <w:sz w:val="22"/>
          <w:szCs w:val="22"/>
        </w:rPr>
        <w:t xml:space="preserve"> an example of a whole-of-government scheme that integrates criminal justice and regulatory approaches in a way that institutionalises organized crime risk awareness across the entire bureaucracy.”  In contrast, the Australian anti-associations model, she says, is an example of “policy making `on the run’ [that] has militated against the adoption of evidence-based, well-planned and nationally consistent approaches to organised crime.” </w:t>
      </w:r>
    </w:p>
    <w:p w14:paraId="373DCB9C" w14:textId="77777777" w:rsidR="00C33C84" w:rsidRPr="008B4D4B" w:rsidRDefault="00C33C84" w:rsidP="008A7E29">
      <w:pPr>
        <w:autoSpaceDE w:val="0"/>
        <w:autoSpaceDN w:val="0"/>
        <w:adjustRightInd w:val="0"/>
        <w:jc w:val="both"/>
        <w:rPr>
          <w:rFonts w:ascii="Didot" w:hAnsi="Didot" w:cs="Didot"/>
          <w:sz w:val="22"/>
          <w:szCs w:val="22"/>
        </w:rPr>
      </w:pPr>
    </w:p>
    <w:p w14:paraId="58B8F012" w14:textId="77777777" w:rsidR="00C33C84" w:rsidRPr="008B4D4B" w:rsidRDefault="00C33C84" w:rsidP="008A7E29">
      <w:pPr>
        <w:autoSpaceDE w:val="0"/>
        <w:autoSpaceDN w:val="0"/>
        <w:adjustRightInd w:val="0"/>
        <w:jc w:val="both"/>
        <w:rPr>
          <w:rFonts w:ascii="Didot" w:eastAsia="Times New Roman" w:hAnsi="Didot" w:cs="Didot"/>
          <w:sz w:val="22"/>
          <w:szCs w:val="22"/>
        </w:rPr>
      </w:pPr>
      <w:r w:rsidRPr="008B4D4B">
        <w:rPr>
          <w:rFonts w:ascii="Didot" w:eastAsia="Times New Roman" w:hAnsi="Didot" w:cs="Didot"/>
          <w:sz w:val="22"/>
          <w:szCs w:val="22"/>
        </w:rPr>
        <w:t xml:space="preserve">At the other end of the group violence spectrum – dealing with the violence for violence sake criminal gangs – a strategy called “pulling levers” has been used effectively in the US.  The aim of this approach is to deter violent behavior, in essence by setting clear standards for behavior, and then doing what is called “pulling every [legally available] lever” </w:t>
      </w:r>
      <w:proofErr w:type="gramStart"/>
      <w:r w:rsidRPr="008B4D4B">
        <w:rPr>
          <w:rFonts w:ascii="Didot" w:eastAsia="Times New Roman" w:hAnsi="Didot" w:cs="Didot"/>
          <w:sz w:val="22"/>
          <w:szCs w:val="22"/>
        </w:rPr>
        <w:t>when  the</w:t>
      </w:r>
      <w:proofErr w:type="gramEnd"/>
      <w:r w:rsidRPr="008B4D4B">
        <w:rPr>
          <w:rFonts w:ascii="Didot" w:eastAsia="Times New Roman" w:hAnsi="Didot" w:cs="Didot"/>
          <w:sz w:val="22"/>
          <w:szCs w:val="22"/>
        </w:rPr>
        <w:t xml:space="preserve"> standards are violated.  One of the earliest examples of this strategy is Operation Ceasefire in Boston, MA.  A partnership between researchers and practitioners assessed youth homicides and firearms violence and then focused attention on the small number of chronically criminal gang members who were responsible for most of the homicides.  </w:t>
      </w:r>
    </w:p>
    <w:p w14:paraId="49DEB88E"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eastAsia="Times New Roman" w:hAnsi="Didot" w:cs="Didot"/>
          <w:sz w:val="22"/>
          <w:szCs w:val="22"/>
        </w:rPr>
      </w:pPr>
      <w:r w:rsidRPr="008B4D4B">
        <w:rPr>
          <w:rFonts w:ascii="Didot" w:eastAsia="Times New Roman" w:hAnsi="Didot" w:cs="Didot"/>
          <w:sz w:val="22"/>
          <w:szCs w:val="22"/>
        </w:rPr>
        <w:t>Evaluations of Operation Ceasefire and its replications in other US cities have shown significant reductions in youth homicide victimization, “shots fired” calls for service, and gun assault incidents. The deterrence strategy, when combined with various social interventions, creating opportunities, and utilizing the services of community organizations has demonstrated effectiveness in reducing this particular kind of criminal group violence.  According to the program assessment by the Office of Justice Programs of the US Department of Justice (</w:t>
      </w:r>
      <w:hyperlink r:id="rId18" w:history="1">
        <w:r w:rsidRPr="008B4D4B">
          <w:rPr>
            <w:rStyle w:val="Hyperlink"/>
            <w:rFonts w:ascii="Didot" w:eastAsia="Times New Roman" w:hAnsi="Didot" w:cs="Didot"/>
            <w:sz w:val="22"/>
            <w:szCs w:val="22"/>
          </w:rPr>
          <w:t>www.crimesolutions.gov</w:t>
        </w:r>
      </w:hyperlink>
      <w:r w:rsidRPr="008B4D4B">
        <w:rPr>
          <w:rFonts w:ascii="Didot" w:eastAsia="Times New Roman" w:hAnsi="Didot" w:cs="Didot"/>
          <w:sz w:val="22"/>
          <w:szCs w:val="22"/>
        </w:rPr>
        <w:t>):</w:t>
      </w:r>
    </w:p>
    <w:p w14:paraId="005B0D83"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eastAsia="Times New Roman" w:hAnsi="Didot" w:cs="Didot"/>
          <w:sz w:val="22"/>
          <w:szCs w:val="22"/>
        </w:rPr>
      </w:pPr>
    </w:p>
    <w:p w14:paraId="4021F99C"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Didot" w:hAnsi="Didot" w:cs="Didot"/>
          <w:color w:val="000000"/>
          <w:sz w:val="22"/>
          <w:szCs w:val="22"/>
        </w:rPr>
      </w:pPr>
      <w:r w:rsidRPr="008B4D4B">
        <w:rPr>
          <w:rFonts w:ascii="Didot" w:eastAsia="Times New Roman" w:hAnsi="Didot" w:cs="Didot"/>
          <w:sz w:val="22"/>
          <w:szCs w:val="22"/>
        </w:rPr>
        <w:t xml:space="preserve">… </w:t>
      </w:r>
      <w:r w:rsidRPr="008B4D4B">
        <w:rPr>
          <w:rFonts w:ascii="Didot" w:hAnsi="Didot" w:cs="Didot"/>
          <w:color w:val="000000"/>
          <w:sz w:val="22"/>
          <w:szCs w:val="22"/>
        </w:rPr>
        <w:t>the “pulling levers” strategy, involves deterring violent behavior by chronic gang members by reaching out directly to gangs, saying explicitly that violence will not be tolerated, and by following every legally available route when violence occurs. Simultaneously, service providers, probation and parole officers, and church and other community groups offer gang members services and other kinds of help. The deterrence message was not a deal with gang members to stop violence. Rather, it was a guarantee to gang members that violent behavior would evoke an immediate and intense response. When gang violence did occur, Ceasefire agencies would address the violent group or groups involved, drawing from all possible legal levers. For instance, authorities could disrupt street drug activity, aim police attention toward low-level street crimes such as trespassing and public drinking, serve outstanding warrants, seize drug proceeds and other assets, request stronger bail terms (and enforce them), and turn potentially severe Federal investigative and prosecutorial attention toward gang-related drug activity. Because of the multitude of agencies involved in Operation Ceasefire, each gang who behaved violently could be subjected to such crackdowns. The operations could be customized to the particular individuals and characteristics of the gang in question.</w:t>
      </w:r>
    </w:p>
    <w:p w14:paraId="7271B727"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Didot" w:hAnsi="Didot" w:cs="Didot"/>
          <w:color w:val="000000"/>
          <w:sz w:val="22"/>
          <w:szCs w:val="22"/>
        </w:rPr>
      </w:pPr>
    </w:p>
    <w:p w14:paraId="0F8C4776"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color w:val="000000"/>
          <w:sz w:val="22"/>
          <w:szCs w:val="22"/>
        </w:rPr>
      </w:pPr>
      <w:r w:rsidRPr="008B4D4B">
        <w:rPr>
          <w:rFonts w:ascii="Didot" w:hAnsi="Didot" w:cs="Didot"/>
          <w:color w:val="000000"/>
          <w:sz w:val="22"/>
          <w:szCs w:val="22"/>
        </w:rPr>
        <w:lastRenderedPageBreak/>
        <w:t>It can be readily seen how this approach can be effective against localized street gangs, but would be highly unlikely to work if targeted on national and transnational criminal organizations.</w:t>
      </w:r>
    </w:p>
    <w:p w14:paraId="139E29C0"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b/>
          <w:color w:val="000000"/>
          <w:sz w:val="22"/>
          <w:szCs w:val="22"/>
        </w:rPr>
      </w:pPr>
    </w:p>
    <w:p w14:paraId="35B460D9"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b/>
          <w:color w:val="000000"/>
          <w:sz w:val="22"/>
          <w:szCs w:val="22"/>
        </w:rPr>
      </w:pPr>
      <w:r w:rsidRPr="008B4D4B">
        <w:rPr>
          <w:rFonts w:ascii="Didot" w:hAnsi="Didot" w:cs="Didot"/>
          <w:b/>
          <w:color w:val="000000"/>
          <w:sz w:val="22"/>
          <w:szCs w:val="22"/>
        </w:rPr>
        <w:t>References</w:t>
      </w:r>
    </w:p>
    <w:p w14:paraId="63F44437"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Didot" w:hAnsi="Didot" w:cs="Didot"/>
          <w:b/>
          <w:color w:val="000000"/>
          <w:sz w:val="22"/>
          <w:szCs w:val="22"/>
        </w:rPr>
      </w:pPr>
    </w:p>
    <w:p w14:paraId="2CE9D496" w14:textId="77777777" w:rsidR="00C33C84" w:rsidRPr="008B4D4B" w:rsidRDefault="00C33C84" w:rsidP="008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Didot" w:hAnsi="Didot" w:cs="Didot"/>
          <w:sz w:val="22"/>
          <w:szCs w:val="22"/>
        </w:rPr>
      </w:pPr>
      <w:r w:rsidRPr="008B4D4B">
        <w:rPr>
          <w:rFonts w:ascii="Didot" w:eastAsia="Times New Roman" w:hAnsi="Didot" w:cs="Didot"/>
          <w:sz w:val="22"/>
          <w:szCs w:val="22"/>
        </w:rPr>
        <w:t xml:space="preserve">Ayling, J., </w:t>
      </w:r>
      <w:r w:rsidRPr="008B4D4B">
        <w:rPr>
          <w:rFonts w:ascii="Didot" w:hAnsi="Didot" w:cs="Didot"/>
          <w:sz w:val="22"/>
          <w:szCs w:val="22"/>
        </w:rPr>
        <w:t>“`Going Dutch’? Comparing Approaches to Preventing Organised Crime in Australia and the Netherlands</w:t>
      </w:r>
      <w:proofErr w:type="gramStart"/>
      <w:r w:rsidRPr="008B4D4B">
        <w:rPr>
          <w:rFonts w:ascii="Didot" w:hAnsi="Didot" w:cs="Didot"/>
          <w:sz w:val="22"/>
          <w:szCs w:val="22"/>
        </w:rPr>
        <w:t xml:space="preserve">,” </w:t>
      </w:r>
      <w:proofErr w:type="gramEnd"/>
      <w:r w:rsidRPr="008B4D4B">
        <w:rPr>
          <w:rFonts w:ascii="Didot" w:hAnsi="Didot" w:cs="Didot"/>
          <w:i/>
          <w:sz w:val="22"/>
          <w:szCs w:val="22"/>
        </w:rPr>
        <w:t>The European Review of Organised Crime</w:t>
      </w:r>
      <w:r w:rsidRPr="008B4D4B">
        <w:rPr>
          <w:rFonts w:ascii="Didot" w:hAnsi="Didot" w:cs="Didot"/>
          <w:sz w:val="22"/>
          <w:szCs w:val="22"/>
        </w:rPr>
        <w:t xml:space="preserve"> 1(1), 2014, 78-107.</w:t>
      </w:r>
    </w:p>
    <w:p w14:paraId="218D59D5" w14:textId="77777777" w:rsidR="00C33C84" w:rsidRPr="008B4D4B" w:rsidRDefault="00C33C84" w:rsidP="008A7E29">
      <w:pPr>
        <w:ind w:left="720" w:hanging="720"/>
        <w:jc w:val="both"/>
        <w:rPr>
          <w:rFonts w:ascii="Didot" w:hAnsi="Didot" w:cs="Didot"/>
          <w:sz w:val="22"/>
          <w:szCs w:val="22"/>
        </w:rPr>
      </w:pPr>
      <w:r w:rsidRPr="008B4D4B">
        <w:rPr>
          <w:rFonts w:ascii="Didot" w:hAnsi="Didot" w:cs="Didot"/>
          <w:sz w:val="22"/>
          <w:szCs w:val="22"/>
        </w:rPr>
        <w:t>Desroches, F. 2003. “Drug Trafficking and Organized Crime in Canada</w:t>
      </w:r>
      <w:proofErr w:type="gramStart"/>
      <w:r w:rsidRPr="008B4D4B">
        <w:rPr>
          <w:rFonts w:ascii="Didot" w:hAnsi="Didot" w:cs="Didot"/>
          <w:sz w:val="22"/>
          <w:szCs w:val="22"/>
        </w:rPr>
        <w:t xml:space="preserve">,” </w:t>
      </w:r>
      <w:proofErr w:type="gramEnd"/>
      <w:r w:rsidRPr="008B4D4B">
        <w:rPr>
          <w:rFonts w:ascii="Didot" w:hAnsi="Didot" w:cs="Didot"/>
          <w:sz w:val="22"/>
          <w:szCs w:val="22"/>
        </w:rPr>
        <w:t xml:space="preserve">in </w:t>
      </w:r>
      <w:r w:rsidRPr="008B4D4B">
        <w:rPr>
          <w:rFonts w:ascii="Didot" w:hAnsi="Didot" w:cs="Didot"/>
          <w:i/>
          <w:sz w:val="22"/>
          <w:szCs w:val="22"/>
        </w:rPr>
        <w:t>Critical Reflections on Transnational Organized Crime, Money Laundering, and Corruption</w:t>
      </w:r>
      <w:r w:rsidRPr="008B4D4B">
        <w:rPr>
          <w:rFonts w:ascii="Didot" w:hAnsi="Didot" w:cs="Didot"/>
          <w:sz w:val="22"/>
          <w:szCs w:val="22"/>
        </w:rPr>
        <w:t>, M. Beare (ed.), Toronto: University of Toronto Press, 2003, 237-255.</w:t>
      </w:r>
    </w:p>
    <w:p w14:paraId="46BC03F7" w14:textId="77777777" w:rsidR="00C33C84" w:rsidRPr="008B4D4B" w:rsidRDefault="00C33C84" w:rsidP="008A7E29">
      <w:pPr>
        <w:ind w:left="720" w:hanging="720"/>
        <w:jc w:val="both"/>
        <w:rPr>
          <w:rFonts w:ascii="Didot" w:eastAsia="Times New Roman" w:hAnsi="Didot" w:cs="Didot"/>
          <w:sz w:val="22"/>
          <w:szCs w:val="22"/>
        </w:rPr>
      </w:pPr>
      <w:r w:rsidRPr="008B4D4B">
        <w:rPr>
          <w:rFonts w:ascii="Didot" w:eastAsia="Times New Roman" w:hAnsi="Didot" w:cs="Didot"/>
          <w:sz w:val="22"/>
          <w:szCs w:val="22"/>
        </w:rPr>
        <w:t xml:space="preserve">Finckenauer, J.O., </w:t>
      </w:r>
      <w:r w:rsidRPr="008B4D4B">
        <w:rPr>
          <w:rFonts w:ascii="Didot" w:eastAsia="Times New Roman" w:hAnsi="Didot" w:cs="Didot"/>
          <w:i/>
          <w:sz w:val="22"/>
          <w:szCs w:val="22"/>
        </w:rPr>
        <w:t>Mafia and Organized Crime</w:t>
      </w:r>
      <w:r w:rsidRPr="008B4D4B">
        <w:rPr>
          <w:rFonts w:ascii="Didot" w:eastAsia="Times New Roman" w:hAnsi="Didot" w:cs="Didot"/>
          <w:sz w:val="22"/>
          <w:szCs w:val="22"/>
        </w:rPr>
        <w:t>, Oneworld, Oxford, England, 2007.</w:t>
      </w:r>
    </w:p>
    <w:p w14:paraId="35F0EE6D" w14:textId="77777777" w:rsidR="00C33C84" w:rsidRPr="008B4D4B" w:rsidRDefault="00C33C84" w:rsidP="008A7E29">
      <w:pPr>
        <w:ind w:left="720" w:hanging="720"/>
        <w:jc w:val="both"/>
        <w:rPr>
          <w:rFonts w:ascii="Didot" w:hAnsi="Didot" w:cs="Didot"/>
          <w:sz w:val="22"/>
          <w:szCs w:val="22"/>
        </w:rPr>
      </w:pPr>
      <w:r w:rsidRPr="008B4D4B">
        <w:rPr>
          <w:rFonts w:ascii="Didot" w:eastAsia="Times New Roman" w:hAnsi="Didot" w:cs="Didot"/>
          <w:sz w:val="22"/>
          <w:szCs w:val="22"/>
        </w:rPr>
        <w:t xml:space="preserve">Hallsworth, S., </w:t>
      </w:r>
      <w:r w:rsidRPr="008B4D4B">
        <w:rPr>
          <w:rFonts w:ascii="Didot" w:hAnsi="Didot" w:cs="Didot"/>
          <w:i/>
          <w:sz w:val="22"/>
          <w:szCs w:val="22"/>
        </w:rPr>
        <w:t>The Gang and Beyond: Interpreting Violent Street Worlds</w:t>
      </w:r>
      <w:r w:rsidRPr="008B4D4B">
        <w:rPr>
          <w:rFonts w:ascii="Didot" w:hAnsi="Didot" w:cs="Didot"/>
          <w:sz w:val="22"/>
          <w:szCs w:val="22"/>
        </w:rPr>
        <w:t xml:space="preserve">, Houndmills, Basingstoke, </w:t>
      </w:r>
      <w:proofErr w:type="gramStart"/>
      <w:r w:rsidRPr="008B4D4B">
        <w:rPr>
          <w:rFonts w:ascii="Didot" w:hAnsi="Didot" w:cs="Didot"/>
          <w:sz w:val="22"/>
          <w:szCs w:val="22"/>
        </w:rPr>
        <w:t>UK;  New</w:t>
      </w:r>
      <w:proofErr w:type="gramEnd"/>
      <w:r w:rsidRPr="008B4D4B">
        <w:rPr>
          <w:rFonts w:ascii="Didot" w:hAnsi="Didot" w:cs="Didot"/>
          <w:sz w:val="22"/>
          <w:szCs w:val="22"/>
        </w:rPr>
        <w:t xml:space="preserve"> York: Palgrave Macmillan, 2013.  </w:t>
      </w:r>
    </w:p>
    <w:p w14:paraId="76F7A150" w14:textId="77777777" w:rsidR="00C33C84" w:rsidRPr="008B4D4B" w:rsidRDefault="00C33C84" w:rsidP="008A7E29">
      <w:pPr>
        <w:autoSpaceDE w:val="0"/>
        <w:autoSpaceDN w:val="0"/>
        <w:adjustRightInd w:val="0"/>
        <w:ind w:left="720" w:hanging="720"/>
        <w:jc w:val="both"/>
        <w:rPr>
          <w:rFonts w:ascii="Didot" w:eastAsia="Times New Roman" w:hAnsi="Didot" w:cs="Didot"/>
          <w:sz w:val="22"/>
          <w:szCs w:val="22"/>
        </w:rPr>
      </w:pPr>
      <w:r w:rsidRPr="008B4D4B">
        <w:rPr>
          <w:rFonts w:ascii="Didot" w:hAnsi="Didot" w:cs="Didot"/>
          <w:bCs/>
          <w:sz w:val="22"/>
          <w:szCs w:val="22"/>
        </w:rPr>
        <w:t xml:space="preserve">Pearson, G. and D. </w:t>
      </w:r>
      <w:proofErr w:type="gramStart"/>
      <w:r w:rsidRPr="008B4D4B">
        <w:rPr>
          <w:rFonts w:ascii="Didot" w:hAnsi="Didot" w:cs="Didot"/>
          <w:bCs/>
          <w:sz w:val="22"/>
          <w:szCs w:val="22"/>
        </w:rPr>
        <w:t xml:space="preserve">Hobbs,  </w:t>
      </w:r>
      <w:r w:rsidRPr="008B4D4B">
        <w:rPr>
          <w:rFonts w:ascii="Didot" w:hAnsi="Didot" w:cs="Didot"/>
          <w:bCs/>
          <w:i/>
          <w:sz w:val="22"/>
          <w:szCs w:val="22"/>
        </w:rPr>
        <w:t>Middle</w:t>
      </w:r>
      <w:proofErr w:type="gramEnd"/>
      <w:r w:rsidRPr="008B4D4B">
        <w:rPr>
          <w:rFonts w:ascii="Didot" w:hAnsi="Didot" w:cs="Didot"/>
          <w:bCs/>
          <w:i/>
          <w:sz w:val="22"/>
          <w:szCs w:val="22"/>
        </w:rPr>
        <w:t xml:space="preserve"> Market Drug Distribution</w:t>
      </w:r>
      <w:r w:rsidRPr="008B4D4B">
        <w:rPr>
          <w:rFonts w:ascii="Didot" w:hAnsi="Didot" w:cs="Didot"/>
          <w:bCs/>
          <w:sz w:val="22"/>
          <w:szCs w:val="22"/>
        </w:rPr>
        <w:t>. London: Home Office Research, 2001.</w:t>
      </w:r>
    </w:p>
    <w:p w14:paraId="14F4727A" w14:textId="77777777" w:rsidR="00C33C84" w:rsidRPr="008B4D4B" w:rsidRDefault="00C33C84" w:rsidP="008A7E29">
      <w:pPr>
        <w:autoSpaceDE w:val="0"/>
        <w:autoSpaceDN w:val="0"/>
        <w:adjustRightInd w:val="0"/>
        <w:ind w:left="720" w:hanging="720"/>
        <w:jc w:val="both"/>
        <w:rPr>
          <w:rFonts w:ascii="Didot" w:eastAsia="Times New Roman" w:hAnsi="Didot" w:cs="Didot"/>
          <w:sz w:val="22"/>
          <w:szCs w:val="22"/>
        </w:rPr>
      </w:pPr>
    </w:p>
    <w:p w14:paraId="00D861E7" w14:textId="77777777" w:rsidR="00C33C84" w:rsidRPr="008B4D4B" w:rsidRDefault="00C33C84" w:rsidP="008A7E29">
      <w:pPr>
        <w:autoSpaceDE w:val="0"/>
        <w:autoSpaceDN w:val="0"/>
        <w:adjustRightInd w:val="0"/>
        <w:ind w:left="720" w:hanging="720"/>
        <w:jc w:val="both"/>
        <w:rPr>
          <w:rFonts w:ascii="Didot" w:hAnsi="Didot" w:cs="Didot"/>
          <w:bCs/>
          <w:color w:val="292526"/>
          <w:sz w:val="22"/>
          <w:szCs w:val="22"/>
        </w:rPr>
      </w:pPr>
      <w:r w:rsidRPr="008B4D4B">
        <w:rPr>
          <w:rFonts w:ascii="Didot" w:eastAsia="Times New Roman" w:hAnsi="Didot" w:cs="Didot"/>
          <w:sz w:val="22"/>
          <w:szCs w:val="22"/>
        </w:rPr>
        <w:t>Reed, W.L. and S.H. Decker (eds.)</w:t>
      </w:r>
      <w:proofErr w:type="gramStart"/>
      <w:r w:rsidRPr="008B4D4B">
        <w:rPr>
          <w:rFonts w:ascii="Didot" w:eastAsia="Times New Roman" w:hAnsi="Didot" w:cs="Didot"/>
          <w:sz w:val="22"/>
          <w:szCs w:val="22"/>
        </w:rPr>
        <w:t xml:space="preserve">,  </w:t>
      </w:r>
      <w:r w:rsidRPr="008B4D4B">
        <w:rPr>
          <w:rFonts w:ascii="Didot" w:hAnsi="Didot" w:cs="Didot"/>
          <w:bCs/>
          <w:i/>
          <w:color w:val="292526"/>
          <w:sz w:val="22"/>
          <w:szCs w:val="22"/>
        </w:rPr>
        <w:t>Responding</w:t>
      </w:r>
      <w:proofErr w:type="gramEnd"/>
      <w:r w:rsidRPr="008B4D4B">
        <w:rPr>
          <w:rFonts w:ascii="Didot" w:hAnsi="Didot" w:cs="Didot"/>
          <w:bCs/>
          <w:i/>
          <w:color w:val="292526"/>
          <w:sz w:val="22"/>
          <w:szCs w:val="22"/>
        </w:rPr>
        <w:t xml:space="preserve"> to Gangs: Evaluation and Research, </w:t>
      </w:r>
      <w:r w:rsidRPr="008B4D4B">
        <w:rPr>
          <w:rFonts w:ascii="Didot" w:hAnsi="Didot" w:cs="Didot"/>
          <w:bCs/>
          <w:color w:val="292526"/>
          <w:sz w:val="22"/>
          <w:szCs w:val="22"/>
        </w:rPr>
        <w:t>NCJ 190351, July 2002.</w:t>
      </w:r>
    </w:p>
    <w:p w14:paraId="3013D912" w14:textId="77777777" w:rsidR="00C33C84" w:rsidRPr="008B4D4B" w:rsidRDefault="00C33C84" w:rsidP="008A7E29">
      <w:pPr>
        <w:autoSpaceDE w:val="0"/>
        <w:autoSpaceDN w:val="0"/>
        <w:adjustRightInd w:val="0"/>
        <w:ind w:left="720" w:hanging="720"/>
        <w:jc w:val="both"/>
        <w:rPr>
          <w:rFonts w:ascii="Didot" w:hAnsi="Didot" w:cs="Didot"/>
          <w:bCs/>
          <w:color w:val="292526"/>
          <w:sz w:val="22"/>
          <w:szCs w:val="22"/>
        </w:rPr>
      </w:pPr>
    </w:p>
    <w:p w14:paraId="405C9550" w14:textId="3AFC6F7C" w:rsidR="00160E26" w:rsidRPr="006916FC" w:rsidRDefault="00900655" w:rsidP="008A7E29">
      <w:pPr>
        <w:autoSpaceDE w:val="0"/>
        <w:autoSpaceDN w:val="0"/>
        <w:adjustRightInd w:val="0"/>
        <w:jc w:val="both"/>
        <w:rPr>
          <w:rFonts w:ascii="Didot" w:hAnsi="Didot" w:cs="Didot"/>
          <w:bCs/>
          <w:color w:val="292526"/>
        </w:rPr>
        <w:sectPr w:rsidR="00160E26" w:rsidRPr="006916FC" w:rsidSect="00160E26">
          <w:type w:val="continuous"/>
          <w:pgSz w:w="11900" w:h="16840"/>
          <w:pgMar w:top="1440" w:right="1800" w:bottom="1440" w:left="1800" w:header="708" w:footer="708" w:gutter="0"/>
          <w:cols w:space="708"/>
          <w:docGrid w:linePitch="360"/>
        </w:sectPr>
      </w:pPr>
      <w:r w:rsidRPr="006916FC">
        <w:rPr>
          <w:rFonts w:ascii="Didot" w:hAnsi="Didot" w:cs="Didot"/>
          <w:bCs/>
          <w:color w:val="292526"/>
        </w:rPr>
        <w:br w:type="column"/>
      </w:r>
    </w:p>
    <w:p w14:paraId="1A997A23" w14:textId="58315D24" w:rsidR="005A1339" w:rsidRPr="006916FC" w:rsidRDefault="008B4D4B" w:rsidP="008A7E29">
      <w:pPr>
        <w:pStyle w:val="Heading1"/>
        <w:rPr>
          <w:sz w:val="34"/>
          <w:szCs w:val="34"/>
        </w:rPr>
      </w:pPr>
      <w:bookmarkStart w:id="65" w:name="_Toc272639915"/>
      <w:r>
        <w:rPr>
          <w:sz w:val="34"/>
          <w:szCs w:val="34"/>
        </w:rPr>
        <w:lastRenderedPageBreak/>
        <w:br w:type="column"/>
      </w:r>
      <w:bookmarkStart w:id="66" w:name="_Toc272645038"/>
      <w:r w:rsidR="005A1339" w:rsidRPr="006916FC">
        <w:rPr>
          <w:sz w:val="34"/>
          <w:szCs w:val="34"/>
        </w:rPr>
        <w:lastRenderedPageBreak/>
        <w:t>Session 7</w:t>
      </w:r>
      <w:bookmarkEnd w:id="65"/>
      <w:bookmarkEnd w:id="66"/>
      <w:r w:rsidR="005A1339" w:rsidRPr="006916FC">
        <w:rPr>
          <w:sz w:val="34"/>
          <w:szCs w:val="34"/>
        </w:rPr>
        <w:t xml:space="preserve"> </w:t>
      </w:r>
    </w:p>
    <w:p w14:paraId="0CEF4505" w14:textId="77777777" w:rsidR="00343493" w:rsidRPr="006916FC" w:rsidRDefault="00343493" w:rsidP="008A7E29">
      <w:pPr>
        <w:pStyle w:val="Heading1"/>
      </w:pPr>
      <w:bookmarkStart w:id="67" w:name="_Toc272639916"/>
      <w:bookmarkStart w:id="68" w:name="_Toc272645039"/>
      <w:r w:rsidRPr="006916FC">
        <w:t>Global Actors: International Organisations and Private Philanthropy</w:t>
      </w:r>
      <w:bookmarkEnd w:id="67"/>
      <w:bookmarkEnd w:id="68"/>
    </w:p>
    <w:p w14:paraId="10B03C4A"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52377C0D" w14:textId="77777777" w:rsidR="00343493" w:rsidRPr="006916FC" w:rsidRDefault="00343493"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Simon Sommer - Jacobs Foundation, Head of Research </w:t>
      </w:r>
    </w:p>
    <w:p w14:paraId="54059A54"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359ED125" w14:textId="77777777" w:rsidR="00F11129" w:rsidRPr="00907B3C" w:rsidRDefault="00F11129" w:rsidP="008A7E29">
      <w:pPr>
        <w:widowControl w:val="0"/>
        <w:autoSpaceDE w:val="0"/>
        <w:autoSpaceDN w:val="0"/>
        <w:adjustRightInd w:val="0"/>
        <w:spacing w:after="240"/>
        <w:jc w:val="both"/>
        <w:rPr>
          <w:rFonts w:ascii="Didot" w:hAnsi="Didot" w:cs="Didot"/>
          <w:color w:val="121212"/>
          <w:sz w:val="2"/>
          <w:szCs w:val="2"/>
          <w:lang w:val="en-US"/>
        </w:rPr>
      </w:pPr>
    </w:p>
    <w:p w14:paraId="28CA4ACA" w14:textId="77777777" w:rsidR="00343493" w:rsidRPr="00907B3C" w:rsidRDefault="00343493"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roofErr w:type="gramStart"/>
      <w:r w:rsidRPr="00907B3C">
        <w:rPr>
          <w:rFonts w:ascii="Didot" w:hAnsi="Didot" w:cs="Didot"/>
          <w:color w:val="121212"/>
          <w:sz w:val="22"/>
          <w:szCs w:val="22"/>
          <w:lang w:val="en-US"/>
        </w:rPr>
        <w:t>Violence is prevented by taking concrete measures within countries, often at sub-national or municipal level</w:t>
      </w:r>
      <w:proofErr w:type="gramEnd"/>
      <w:r w:rsidRPr="00907B3C">
        <w:rPr>
          <w:rFonts w:ascii="Didot" w:hAnsi="Didot" w:cs="Didot"/>
          <w:color w:val="121212"/>
          <w:sz w:val="22"/>
          <w:szCs w:val="22"/>
          <w:lang w:val="en-US"/>
        </w:rPr>
        <w:t>. However, international actors can also make an important contribution to violence prevention, directly, by providing funding, policy advice, or operational assistance to countries; and indirectly, by providing global "public goods" for violence prevention – such as international treaties and resolutions, scientific knowledge and databases, and capacity development tools – which can then be applied by national and sub-national actors. In this session, the contribution of international organizations and private philanthropy to reducing violence by 50% in the next 30 years will be spelled out.</w:t>
      </w:r>
    </w:p>
    <w:p w14:paraId="73A3F2C2" w14:textId="77777777" w:rsidR="00F11129" w:rsidRPr="006916FC" w:rsidRDefault="00F11129"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
    <w:p w14:paraId="73A4F256" w14:textId="77777777" w:rsidR="00343493" w:rsidRPr="006916FC" w:rsidRDefault="00343493" w:rsidP="008A7E29">
      <w:pPr>
        <w:pStyle w:val="Heading2"/>
        <w:jc w:val="both"/>
        <w:rPr>
          <w:rFonts w:ascii="Didot" w:hAnsi="Didot" w:cs="Didot"/>
          <w:color w:val="auto"/>
          <w:sz w:val="34"/>
          <w:szCs w:val="34"/>
        </w:rPr>
      </w:pPr>
      <w:bookmarkStart w:id="69" w:name="_Toc272639917"/>
      <w:bookmarkStart w:id="70" w:name="_Toc272645040"/>
      <w:r w:rsidRPr="006916FC">
        <w:rPr>
          <w:rFonts w:ascii="Didot" w:hAnsi="Didot" w:cs="Didot"/>
          <w:color w:val="auto"/>
          <w:sz w:val="34"/>
          <w:szCs w:val="34"/>
        </w:rPr>
        <w:t>Alexander Butchart</w:t>
      </w:r>
      <w:bookmarkEnd w:id="69"/>
      <w:bookmarkEnd w:id="70"/>
    </w:p>
    <w:p w14:paraId="08309B83" w14:textId="77777777" w:rsidR="00C33C84" w:rsidRPr="006916FC" w:rsidRDefault="00C33C84" w:rsidP="008A7E29">
      <w:pPr>
        <w:widowControl w:val="0"/>
        <w:autoSpaceDE w:val="0"/>
        <w:autoSpaceDN w:val="0"/>
        <w:adjustRightInd w:val="0"/>
        <w:spacing w:after="200"/>
        <w:jc w:val="both"/>
        <w:rPr>
          <w:rFonts w:ascii="Didot" w:hAnsi="Didot" w:cs="Didot"/>
          <w:b/>
          <w:color w:val="121212"/>
          <w:lang w:val="en-US"/>
        </w:rPr>
      </w:pPr>
    </w:p>
    <w:p w14:paraId="19F1C2CF" w14:textId="77777777" w:rsidR="00343493" w:rsidRPr="006916FC" w:rsidRDefault="00343493" w:rsidP="008A7E29">
      <w:pPr>
        <w:widowControl w:val="0"/>
        <w:autoSpaceDE w:val="0"/>
        <w:autoSpaceDN w:val="0"/>
        <w:adjustRightInd w:val="0"/>
        <w:spacing w:after="200"/>
        <w:jc w:val="both"/>
        <w:rPr>
          <w:rFonts w:ascii="Didot" w:hAnsi="Didot" w:cs="Didot"/>
          <w:b/>
          <w:color w:val="121212"/>
          <w:lang w:val="en-US"/>
        </w:rPr>
      </w:pPr>
      <w:r w:rsidRPr="006916FC">
        <w:rPr>
          <w:rFonts w:ascii="Didot" w:hAnsi="Didot" w:cs="Didot"/>
          <w:b/>
          <w:color w:val="121212"/>
          <w:lang w:val="en-US"/>
        </w:rPr>
        <w:t>Biography</w:t>
      </w:r>
    </w:p>
    <w:p w14:paraId="6ACB3286" w14:textId="77777777" w:rsidR="00343493" w:rsidRPr="006916FC" w:rsidRDefault="00343493"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r w:rsidRPr="006916FC">
        <w:rPr>
          <w:rFonts w:ascii="Didot" w:hAnsi="Didot" w:cs="Didot"/>
          <w:color w:val="121212"/>
          <w:sz w:val="22"/>
          <w:szCs w:val="22"/>
          <w:lang w:val="en-US"/>
        </w:rPr>
        <w:t xml:space="preserve">Dr. Alexander Butchart is the Prevention of Violence Coordinator in the Department of Violence and Injury Prevention and Disability at the World Health Organization (WHO) in Geneva, Switzerland. His responsibilities include coordinating the Global Campaign for Violence Prevention, the development of policy for the prevention of interpersonal violence, preparation of guidelines for the prevention of specific types of interpersonal violence, and the coordination of research into various aspects of interpersonal violence and its prevention (more information on the Violence and Injury Prevention Unit of the WHO can be found </w:t>
      </w:r>
      <w:hyperlink r:id="rId19" w:history="1">
        <w:r w:rsidRPr="006916FC">
          <w:rPr>
            <w:rFonts w:ascii="Didot" w:hAnsi="Didot" w:cs="Didot"/>
            <w:color w:val="0B5BC4"/>
            <w:sz w:val="22"/>
            <w:szCs w:val="22"/>
            <w:lang w:val="en-US"/>
          </w:rPr>
          <w:t>here</w:t>
        </w:r>
      </w:hyperlink>
      <w:r w:rsidRPr="006916FC">
        <w:rPr>
          <w:rFonts w:ascii="Didot" w:hAnsi="Didot" w:cs="Didot"/>
          <w:color w:val="121212"/>
          <w:sz w:val="22"/>
          <w:szCs w:val="22"/>
          <w:lang w:val="en-US"/>
        </w:rPr>
        <w:t xml:space="preserve">). His postgraduate training includes a master's degree in clinical psychology and neuropsychology, and a doctoral degree for work examining the history and sociology of western medicine and public health in southern Africa. Prior to joining WHO he worked mainly in Southern and East Africa, where he was lead scientist in the South African Violence and Injury Surveillance Consortium, and in </w:t>
      </w:r>
      <w:r w:rsidRPr="006916FC">
        <w:rPr>
          <w:rFonts w:ascii="Didot" w:hAnsi="Didot" w:cs="Didot"/>
          <w:color w:val="121212"/>
          <w:sz w:val="22"/>
          <w:szCs w:val="22"/>
          <w:lang w:val="en-US"/>
        </w:rPr>
        <w:lastRenderedPageBreak/>
        <w:t>collaboration with the Uganda-based Injury Prevention Initiative for Africa participated in training violence and injury prevention workers from a number of African countries. He has been a visiting scientist at the Swedish Karolinska Institutet's Division of Social Medicine, and is a widely published social scientist.</w:t>
      </w:r>
    </w:p>
    <w:p w14:paraId="2EC0AA09" w14:textId="77777777" w:rsidR="00900655" w:rsidRPr="006916FC" w:rsidRDefault="00900655"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
    <w:p w14:paraId="19C8516D" w14:textId="519A8400" w:rsidR="001E4864" w:rsidRPr="006916FC" w:rsidRDefault="001E4864" w:rsidP="008A7E29">
      <w:pPr>
        <w:pStyle w:val="Heading2"/>
        <w:jc w:val="both"/>
        <w:rPr>
          <w:rFonts w:ascii="Didot" w:hAnsi="Didot" w:cs="Didot"/>
          <w:color w:val="auto"/>
          <w:sz w:val="34"/>
          <w:szCs w:val="34"/>
        </w:rPr>
      </w:pPr>
      <w:bookmarkStart w:id="71" w:name="_Toc272639918"/>
      <w:bookmarkStart w:id="72" w:name="_Toc272645041"/>
      <w:r w:rsidRPr="006916FC">
        <w:rPr>
          <w:rFonts w:ascii="Didot" w:hAnsi="Didot" w:cs="Didot"/>
          <w:color w:val="auto"/>
          <w:sz w:val="34"/>
          <w:szCs w:val="34"/>
        </w:rPr>
        <w:t>Susan Bissell</w:t>
      </w:r>
      <w:bookmarkEnd w:id="71"/>
      <w:bookmarkEnd w:id="72"/>
    </w:p>
    <w:p w14:paraId="4BCA93BB" w14:textId="77777777" w:rsidR="00C33C84" w:rsidRPr="006916FC" w:rsidRDefault="00C33C84" w:rsidP="008A7E29">
      <w:pPr>
        <w:widowControl w:val="0"/>
        <w:autoSpaceDE w:val="0"/>
        <w:autoSpaceDN w:val="0"/>
        <w:adjustRightInd w:val="0"/>
        <w:spacing w:after="240"/>
        <w:jc w:val="both"/>
        <w:rPr>
          <w:rFonts w:ascii="Didot" w:hAnsi="Didot" w:cs="Didot"/>
          <w:b/>
          <w:bCs/>
          <w:color w:val="1A1A1A"/>
          <w:sz w:val="28"/>
          <w:szCs w:val="28"/>
          <w:lang w:val="en-US"/>
        </w:rPr>
      </w:pPr>
    </w:p>
    <w:p w14:paraId="2FC6C2E7" w14:textId="012481A6" w:rsidR="001E4864" w:rsidRPr="006916FC" w:rsidRDefault="001E4864" w:rsidP="008A7E29">
      <w:pPr>
        <w:widowControl w:val="0"/>
        <w:autoSpaceDE w:val="0"/>
        <w:autoSpaceDN w:val="0"/>
        <w:adjustRightInd w:val="0"/>
        <w:spacing w:after="240"/>
        <w:jc w:val="both"/>
        <w:rPr>
          <w:rFonts w:ascii="Didot" w:hAnsi="Didot" w:cs="Didot"/>
          <w:b/>
          <w:bCs/>
          <w:color w:val="1A1A1A"/>
          <w:sz w:val="28"/>
          <w:szCs w:val="28"/>
          <w:lang w:val="en-US"/>
        </w:rPr>
      </w:pPr>
      <w:r w:rsidRPr="006916FC">
        <w:rPr>
          <w:rFonts w:ascii="Didot" w:hAnsi="Didot" w:cs="Didot"/>
          <w:b/>
          <w:bCs/>
          <w:color w:val="1A1A1A"/>
          <w:sz w:val="28"/>
          <w:szCs w:val="28"/>
          <w:lang w:val="en-US"/>
        </w:rPr>
        <w:t>Biography</w:t>
      </w:r>
    </w:p>
    <w:p w14:paraId="69AB2986" w14:textId="54D9D874" w:rsidR="00A8755F" w:rsidRPr="00907B3C" w:rsidRDefault="00A8755F"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A native of Canada, Susan first served UNICEF in 1987, in New York, in what was then called the Division of Information and Public Affairs. Thereafter she returned to the University of Toronto to complete a Master’s degree in law, economics and international relations. Susan then resumed her work at UNICEF, in the Sri Lanka country office, focused on children in especially difficult circumstances (CEDC). From there Susan moved to Bangladesh and maintained her CEDC concentration, positioning UNICEF particularly on child labour at a time when it was attracting considerable international attention.</w:t>
      </w:r>
    </w:p>
    <w:p w14:paraId="6664DB89" w14:textId="77777777" w:rsidR="00A8755F" w:rsidRPr="00907B3C" w:rsidRDefault="00A8755F"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In 1997, Susan again commenced academic work, in a doctoral degree in public health and medical anthropology at the WHO Key Center for Women’s Health, Faculty of Medicine, University of Melbourne. While completing her doctorate, Susan also worked with Trudie Styler and the Bangladeshi film team Catherine and Tareque Masud to produce the documentary "A Kind of Childhood." The film screened widely at film festivals in North America, Europe, and Asia, and appeared on Canadian, American, and British television. In 2005, it had a second screening at the London Human Rights Watch Film Festival.</w:t>
      </w:r>
    </w:p>
    <w:p w14:paraId="4646F926" w14:textId="77777777" w:rsidR="00A8755F" w:rsidRPr="00907B3C" w:rsidRDefault="00A8755F"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Susan came back to UNICEF in 2001 as the Chief of Child Protection in India. In 2004, she transferred to the Innocenti Research Center, where she led a research unit and a number of studies. These included a 62- country study on the implementation of the general measures of the UN Convention on the Rights of the Child, and global research on the Palermo Protocol and child trafficking. Susan was also a member of the Editorial Board of the report of the UN Secretary General’s Study on Violence Against Children, which was released in 2006.</w:t>
      </w:r>
    </w:p>
    <w:p w14:paraId="2BD1139A" w14:textId="77777777" w:rsidR="00A8755F" w:rsidRPr="00907B3C" w:rsidRDefault="00A8755F"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In 2009, Susan was appointed to her current position in New York, heading all of UNICEF’s Child Protection work. She oversees a team of professionals guiding efforts for children affected by armed conflict, child protection systems strengthening to prevent and respond to all forms of violence against children, and a range of other matters. UNICEF is active in child protection in 170 countries, and the New York team offers leadership, strategic vision, and technical support.</w:t>
      </w:r>
    </w:p>
    <w:p w14:paraId="0EE9CAE6" w14:textId="77777777" w:rsidR="00A8755F" w:rsidRPr="00907B3C" w:rsidRDefault="00A8755F"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Susan was recently awarded </w:t>
      </w:r>
      <w:proofErr w:type="gramStart"/>
      <w:r w:rsidRPr="00907B3C">
        <w:rPr>
          <w:rFonts w:ascii="Didot" w:hAnsi="Didot" w:cs="Didot"/>
          <w:color w:val="121212"/>
          <w:sz w:val="22"/>
          <w:szCs w:val="22"/>
          <w:lang w:val="en-US"/>
        </w:rPr>
        <w:t>an</w:t>
      </w:r>
      <w:proofErr w:type="gramEnd"/>
      <w:r w:rsidRPr="00907B3C">
        <w:rPr>
          <w:rFonts w:ascii="Didot" w:hAnsi="Didot" w:cs="Didot"/>
          <w:color w:val="121212"/>
          <w:sz w:val="22"/>
          <w:szCs w:val="22"/>
          <w:lang w:val="en-US"/>
        </w:rPr>
        <w:t xml:space="preserve"> honourary Professorship at Barnard College/Columbia University. She also received the Dr. Jean Mayar Global Citizenship Award from Tufts University in 2012 and the Queen Elizabeth II Diamond Jubilee Medal in 2012. Susan was honoured to accept these on behalf of her UNICEF Child Protection colleagues around the world.</w:t>
      </w:r>
    </w:p>
    <w:p w14:paraId="772FD5A8" w14:textId="0559DC56" w:rsidR="001E4864" w:rsidRPr="006916FC" w:rsidRDefault="001E4864" w:rsidP="008A7E29">
      <w:pPr>
        <w:widowControl w:val="0"/>
        <w:autoSpaceDE w:val="0"/>
        <w:autoSpaceDN w:val="0"/>
        <w:adjustRightInd w:val="0"/>
        <w:spacing w:after="240"/>
        <w:jc w:val="both"/>
        <w:rPr>
          <w:rFonts w:ascii="Didot" w:hAnsi="Didot" w:cs="Didot"/>
          <w:color w:val="121212"/>
          <w:sz w:val="22"/>
          <w:szCs w:val="22"/>
          <w:lang w:val="en-US"/>
        </w:rPr>
      </w:pPr>
    </w:p>
    <w:p w14:paraId="57B093A4" w14:textId="77777777" w:rsidR="00B9774C" w:rsidRPr="006916FC" w:rsidRDefault="00B9774C"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2C1CEAE6" w14:textId="77777777" w:rsidR="00B9774C" w:rsidRPr="006916FC" w:rsidRDefault="00B9774C"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UNICEF’s Strategy in Prevnetion of Violence Against Children</w:t>
      </w:r>
    </w:p>
    <w:p w14:paraId="6C6C37BE" w14:textId="77777777" w:rsidR="00B9774C" w:rsidRPr="00907B3C" w:rsidRDefault="00B9774C" w:rsidP="008A7E29">
      <w:pPr>
        <w:widowControl w:val="0"/>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 xml:space="preserve">Violence against children knows no boundaries. Incresingly, data shows that in a variety of settings and cultures children cultures are affected. </w:t>
      </w:r>
      <w:proofErr w:type="gramStart"/>
      <w:r w:rsidRPr="00907B3C">
        <w:rPr>
          <w:rFonts w:ascii="Didot" w:hAnsi="Didot" w:cs="Didot"/>
          <w:color w:val="121212"/>
          <w:sz w:val="22"/>
          <w:szCs w:val="22"/>
          <w:lang w:val="en-US"/>
        </w:rPr>
        <w:t>Girls and boys xperience violence differently, in different contexts, and across the life cycle.</w:t>
      </w:r>
      <w:proofErr w:type="gramEnd"/>
      <w:r w:rsidRPr="00907B3C">
        <w:rPr>
          <w:rFonts w:ascii="Didot" w:hAnsi="Didot" w:cs="Didot"/>
          <w:color w:val="121212"/>
          <w:sz w:val="22"/>
          <w:szCs w:val="22"/>
          <w:lang w:val="en-US"/>
        </w:rPr>
        <w:t xml:space="preserve"> Children living with disabilities suffer disproportional violence, and of course children already ‘living in the margin’ in their societies, for whatever reasons, are particularly impacted. </w:t>
      </w:r>
    </w:p>
    <w:p w14:paraId="0EA36B16" w14:textId="77777777" w:rsidR="00B9774C" w:rsidRPr="00907B3C" w:rsidRDefault="00B9774C" w:rsidP="008A7E29">
      <w:pPr>
        <w:widowControl w:val="0"/>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 xml:space="preserve">This presentation will touch briefly on the current data and violence against children, underscoring its scope and global nature. I will then discuss strategies that ‘work’ to prevent and respond to violence. Indeed there are systems and approaches to protecting children from violence that have proven to be effective, though in few cases have been taken to scale. At the same time, there are well designed, child snsietive remedies for those who have experienced violence, and the oftentimes related abuse, exploitation and neglect. </w:t>
      </w:r>
    </w:p>
    <w:p w14:paraId="2E4FF699" w14:textId="77777777" w:rsidR="00B9774C" w:rsidRPr="00907B3C" w:rsidRDefault="00B9774C" w:rsidP="008A7E29">
      <w:pPr>
        <w:widowControl w:val="0"/>
        <w:pBdr>
          <w:bottom w:val="single" w:sz="12" w:space="1" w:color="auto"/>
        </w:pBd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 xml:space="preserve">Finally, the papter will look at UNICEF as an organisation trying to ‘center’ the protection of children from violence, abuse, exploitation and neglect on the global stage. </w:t>
      </w:r>
      <w:proofErr w:type="gramStart"/>
      <w:r w:rsidRPr="00907B3C">
        <w:rPr>
          <w:rFonts w:ascii="Didot" w:hAnsi="Didot" w:cs="Didot"/>
          <w:color w:val="121212"/>
          <w:sz w:val="22"/>
          <w:szCs w:val="22"/>
          <w:lang w:val="en-US"/>
        </w:rPr>
        <w:t>From engagement with the academy, to public partnership, and political engagement vis. advocacy, the post 2015 agenda and beyond.</w:t>
      </w:r>
      <w:proofErr w:type="gramEnd"/>
    </w:p>
    <w:p w14:paraId="4CB4099F" w14:textId="77777777" w:rsidR="00B9774C" w:rsidRPr="006916FC" w:rsidRDefault="00B9774C" w:rsidP="008A7E29">
      <w:pPr>
        <w:widowControl w:val="0"/>
        <w:pBdr>
          <w:bottom w:val="single" w:sz="12" w:space="1" w:color="auto"/>
        </w:pBdr>
        <w:autoSpaceDE w:val="0"/>
        <w:autoSpaceDN w:val="0"/>
        <w:adjustRightInd w:val="0"/>
        <w:spacing w:after="200"/>
        <w:jc w:val="both"/>
        <w:rPr>
          <w:rFonts w:ascii="Didot" w:hAnsi="Didot" w:cs="Didot"/>
          <w:color w:val="121212"/>
          <w:sz w:val="22"/>
          <w:szCs w:val="22"/>
          <w:lang w:val="en-US"/>
        </w:rPr>
      </w:pPr>
    </w:p>
    <w:p w14:paraId="31E201E3" w14:textId="77777777" w:rsidR="00B9774C" w:rsidRPr="006916FC" w:rsidRDefault="00B9774C" w:rsidP="008A7E29">
      <w:pPr>
        <w:widowControl w:val="0"/>
        <w:autoSpaceDE w:val="0"/>
        <w:autoSpaceDN w:val="0"/>
        <w:adjustRightInd w:val="0"/>
        <w:spacing w:after="240"/>
        <w:jc w:val="both"/>
        <w:rPr>
          <w:rFonts w:ascii="Didot" w:hAnsi="Didot" w:cs="Didot"/>
          <w:b/>
          <w:bCs/>
          <w:color w:val="1A1A1A"/>
          <w:sz w:val="28"/>
          <w:szCs w:val="28"/>
          <w:lang w:val="en-US"/>
        </w:rPr>
      </w:pPr>
    </w:p>
    <w:p w14:paraId="1800CF9E" w14:textId="77777777" w:rsidR="00343493" w:rsidRPr="006916FC" w:rsidRDefault="00343493" w:rsidP="008A7E29">
      <w:pPr>
        <w:pStyle w:val="Heading2"/>
        <w:jc w:val="both"/>
        <w:rPr>
          <w:rFonts w:ascii="Didot" w:hAnsi="Didot" w:cs="Didot"/>
          <w:color w:val="auto"/>
          <w:sz w:val="34"/>
          <w:szCs w:val="34"/>
        </w:rPr>
      </w:pPr>
      <w:bookmarkStart w:id="73" w:name="_Toc272639919"/>
      <w:bookmarkStart w:id="74" w:name="_Toc272645042"/>
      <w:r w:rsidRPr="006916FC">
        <w:rPr>
          <w:rFonts w:ascii="Didot" w:hAnsi="Didot" w:cs="Didot"/>
          <w:color w:val="auto"/>
          <w:sz w:val="34"/>
          <w:szCs w:val="34"/>
        </w:rPr>
        <w:t>Patricia Lannen</w:t>
      </w:r>
      <w:bookmarkEnd w:id="73"/>
      <w:bookmarkEnd w:id="74"/>
    </w:p>
    <w:p w14:paraId="3592598B" w14:textId="77777777" w:rsidR="00C33C84" w:rsidRPr="006916FC" w:rsidRDefault="00C33C84" w:rsidP="008A7E29">
      <w:pPr>
        <w:widowControl w:val="0"/>
        <w:autoSpaceDE w:val="0"/>
        <w:autoSpaceDN w:val="0"/>
        <w:adjustRightInd w:val="0"/>
        <w:spacing w:after="240"/>
        <w:jc w:val="both"/>
        <w:rPr>
          <w:rFonts w:ascii="Didot" w:hAnsi="Didot" w:cs="Didot"/>
          <w:b/>
          <w:color w:val="121212"/>
          <w:lang w:val="en-US"/>
        </w:rPr>
      </w:pPr>
    </w:p>
    <w:p w14:paraId="7229A627" w14:textId="77777777" w:rsidR="00343493" w:rsidRPr="006916FC" w:rsidRDefault="00343493"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Biography</w:t>
      </w:r>
    </w:p>
    <w:p w14:paraId="42D82A7E" w14:textId="77777777" w:rsidR="00343493" w:rsidRPr="006916F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Patricia Lannen is a Program Director in the field of child protection at the UBS Optimus Foundation, a philanthropic grant-making foundation based in Switzerland that focuses of improving the lives of children facing adversity. Patricia is responsible for all of the Foundation's evidence-based violence prevention programs, and is involved in the Foundation's initiative to promote the integration of violence prevention into early child development programming. Since joining the UBS Optimus Foundation in 2008, she has coordinated the Foundation's global Optimus Study on child sexual victimization. In different countries around the world, this major initiative is aiming to prevent sexual abuse and to improve services for children who have faced such abuse. Prior to working with the UBS Optimus Foundation, she worked with children and adults on issues of psychosocial oncology at the Harvard Medical School's Dana Farber Cancer Institute in Boston. She has extensive experience in the management of large, multi-site projects with vulnerable populations. These projects have included epidemiological research as well as efforts aimed at intervention and prevention.</w:t>
      </w:r>
      <w:r w:rsidRPr="006916FC">
        <w:rPr>
          <w:rFonts w:ascii="Didot" w:hAnsi="Didot" w:cs="Didot"/>
          <w:color w:val="121212"/>
          <w:sz w:val="22"/>
          <w:szCs w:val="22"/>
          <w:lang w:val="en-US"/>
        </w:rPr>
        <w:t xml:space="preserve"> </w:t>
      </w:r>
      <w:r w:rsidRPr="00907B3C">
        <w:rPr>
          <w:rFonts w:ascii="Didot" w:hAnsi="Didot" w:cs="Didot"/>
          <w:color w:val="121212"/>
          <w:sz w:val="22"/>
          <w:szCs w:val="22"/>
          <w:lang w:val="en-US"/>
        </w:rPr>
        <w:lastRenderedPageBreak/>
        <w:t>Patricia holds a PhD in Psychology, and a Masters in Child Development and Clinical Psychology.</w:t>
      </w:r>
    </w:p>
    <w:p w14:paraId="79E2F538" w14:textId="77777777" w:rsidR="00F11129" w:rsidRPr="006916FC" w:rsidRDefault="00F11129"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25A7D260" w14:textId="77777777" w:rsidR="00F6607E" w:rsidRPr="006916FC" w:rsidRDefault="00F6607E" w:rsidP="008A7E29">
      <w:pPr>
        <w:pStyle w:val="Heading2"/>
        <w:jc w:val="both"/>
        <w:rPr>
          <w:rFonts w:ascii="Didot" w:hAnsi="Didot" w:cs="Didot"/>
          <w:color w:val="auto"/>
          <w:sz w:val="34"/>
          <w:szCs w:val="34"/>
        </w:rPr>
      </w:pPr>
      <w:bookmarkStart w:id="75" w:name="_Toc272639920"/>
      <w:bookmarkStart w:id="76" w:name="_Toc272645043"/>
      <w:r w:rsidRPr="006916FC">
        <w:rPr>
          <w:rFonts w:ascii="Didot" w:hAnsi="Didot" w:cs="Didot"/>
          <w:color w:val="auto"/>
          <w:sz w:val="34"/>
          <w:szCs w:val="34"/>
        </w:rPr>
        <w:t>Maya Ziswiler</w:t>
      </w:r>
      <w:bookmarkEnd w:id="75"/>
      <w:bookmarkEnd w:id="76"/>
    </w:p>
    <w:p w14:paraId="4A81FB2B" w14:textId="77777777" w:rsidR="00C33C84" w:rsidRPr="006916FC" w:rsidRDefault="00C33C84" w:rsidP="008A7E29">
      <w:pPr>
        <w:widowControl w:val="0"/>
        <w:autoSpaceDE w:val="0"/>
        <w:autoSpaceDN w:val="0"/>
        <w:adjustRightInd w:val="0"/>
        <w:spacing w:after="240"/>
        <w:jc w:val="both"/>
        <w:rPr>
          <w:rFonts w:ascii="Didot" w:hAnsi="Didot" w:cs="Didot"/>
          <w:b/>
          <w:bCs/>
          <w:color w:val="1A1A1A"/>
          <w:lang w:val="en-US"/>
        </w:rPr>
      </w:pPr>
    </w:p>
    <w:p w14:paraId="323E8524" w14:textId="77777777" w:rsidR="00F6607E" w:rsidRPr="006916FC" w:rsidRDefault="00F6607E" w:rsidP="008A7E29">
      <w:pPr>
        <w:widowControl w:val="0"/>
        <w:autoSpaceDE w:val="0"/>
        <w:autoSpaceDN w:val="0"/>
        <w:adjustRightInd w:val="0"/>
        <w:spacing w:after="240"/>
        <w:jc w:val="both"/>
        <w:rPr>
          <w:rFonts w:ascii="Didot" w:hAnsi="Didot" w:cs="Didot"/>
          <w:b/>
          <w:bCs/>
          <w:color w:val="1A1A1A"/>
          <w:lang w:val="en-US"/>
        </w:rPr>
      </w:pPr>
      <w:r w:rsidRPr="006916FC">
        <w:rPr>
          <w:rFonts w:ascii="Didot" w:hAnsi="Didot" w:cs="Didot"/>
          <w:b/>
          <w:bCs/>
          <w:color w:val="1A1A1A"/>
          <w:lang w:val="en-US"/>
        </w:rPr>
        <w:t>Biography</w:t>
      </w:r>
    </w:p>
    <w:p w14:paraId="23868EDF" w14:textId="77777777" w:rsidR="00F6607E" w:rsidRPr="006916FC" w:rsidRDefault="00F6607E" w:rsidP="008A7E29">
      <w:pPr>
        <w:widowControl w:val="0"/>
        <w:autoSpaceDE w:val="0"/>
        <w:autoSpaceDN w:val="0"/>
        <w:adjustRightInd w:val="0"/>
        <w:spacing w:after="240"/>
        <w:jc w:val="both"/>
        <w:rPr>
          <w:rFonts w:ascii="Didot" w:hAnsi="Didot" w:cs="Didot"/>
          <w:color w:val="121212"/>
          <w:sz w:val="22"/>
          <w:szCs w:val="22"/>
          <w:lang w:val="en-US"/>
        </w:rPr>
      </w:pPr>
      <w:r w:rsidRPr="006916FC">
        <w:rPr>
          <w:rFonts w:ascii="Didot" w:hAnsi="Didot" w:cs="Didot"/>
          <w:color w:val="121212"/>
          <w:sz w:val="22"/>
          <w:szCs w:val="22"/>
          <w:lang w:val="en-US"/>
        </w:rPr>
        <w:t>Maya Ziswiler is Program Director in the field of education and child development at the UBS Optimus Foundation. She joined the Foundation from the Global Fund to Fight AIDS, Tuberculosis and Malaria where she was responsible for managing public-private partnerships to provide treatment, care and support for HIV/AIDS and malaria programs in Africa and the Caribbean. Previously, Maya worked for UNICEF in Peru, building partnerships to support early childhood development programs. She also has marketing experience from Procter &amp; Gamble in the Middle East and non-profit consulting experience from China. Maya holds degrees in International Development from McGill University, and an MBA in non-profit management from the University of Geneva. She speaks English, French, Spanish, German and Mandarin.</w:t>
      </w:r>
    </w:p>
    <w:p w14:paraId="7C23BDDA"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22F5DD5E" w14:textId="77777777" w:rsidR="00900655" w:rsidRPr="006916FC" w:rsidRDefault="00900655" w:rsidP="008A7E29">
      <w:pPr>
        <w:pStyle w:val="Heading2"/>
        <w:jc w:val="both"/>
        <w:rPr>
          <w:rFonts w:ascii="Didot" w:hAnsi="Didot" w:cs="Didot"/>
          <w:color w:val="auto"/>
          <w:sz w:val="34"/>
          <w:szCs w:val="34"/>
        </w:rPr>
      </w:pPr>
      <w:bookmarkStart w:id="77" w:name="_Toc272639921"/>
      <w:bookmarkStart w:id="78" w:name="_Toc272645044"/>
      <w:r w:rsidRPr="006916FC">
        <w:rPr>
          <w:rFonts w:ascii="Didot" w:hAnsi="Didot" w:cs="Didot"/>
          <w:color w:val="auto"/>
          <w:sz w:val="34"/>
          <w:szCs w:val="34"/>
        </w:rPr>
        <w:t>Michael Feigelson</w:t>
      </w:r>
      <w:bookmarkEnd w:id="77"/>
      <w:bookmarkEnd w:id="78"/>
    </w:p>
    <w:p w14:paraId="778D7A02" w14:textId="77777777" w:rsidR="00C33C84" w:rsidRPr="006916FC" w:rsidRDefault="00C33C84" w:rsidP="008A7E29">
      <w:pPr>
        <w:widowControl w:val="0"/>
        <w:autoSpaceDE w:val="0"/>
        <w:autoSpaceDN w:val="0"/>
        <w:adjustRightInd w:val="0"/>
        <w:spacing w:after="200"/>
        <w:jc w:val="both"/>
        <w:rPr>
          <w:rFonts w:ascii="Didot" w:hAnsi="Didot" w:cs="Didot"/>
          <w:b/>
          <w:bCs/>
          <w:color w:val="1A1A1A"/>
          <w:lang w:val="en-US"/>
        </w:rPr>
      </w:pPr>
    </w:p>
    <w:p w14:paraId="4D3A1A31" w14:textId="77777777" w:rsidR="00900655" w:rsidRPr="006916FC" w:rsidRDefault="00900655"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5AE518AE" w14:textId="18084B8D" w:rsidR="00900655" w:rsidRPr="006916FC" w:rsidRDefault="00900655" w:rsidP="008A7E29">
      <w:pPr>
        <w:widowControl w:val="0"/>
        <w:autoSpaceDE w:val="0"/>
        <w:autoSpaceDN w:val="0"/>
        <w:adjustRightInd w:val="0"/>
        <w:spacing w:after="240"/>
        <w:jc w:val="both"/>
        <w:rPr>
          <w:rFonts w:ascii="Didot" w:hAnsi="Didot" w:cs="Didot"/>
          <w:color w:val="121212"/>
          <w:sz w:val="22"/>
          <w:szCs w:val="22"/>
          <w:lang w:val="en-US"/>
        </w:rPr>
      </w:pPr>
      <w:r w:rsidRPr="006916FC">
        <w:rPr>
          <w:rFonts w:ascii="Didot" w:hAnsi="Didot" w:cs="Didot"/>
          <w:color w:val="121212"/>
          <w:sz w:val="22"/>
          <w:szCs w:val="22"/>
          <w:lang w:val="en-US"/>
        </w:rPr>
        <w:t>Michael Feigelson is the incoming interim Executive Director Director for the Bernard Van Leer Foundation, a private foundation focused on improving opportunities for young children in situations of social and economic disadvantage around the world.  A native New Yorker, he has spent the last 15 years working with children and youth in grassroots and international organizations, as well as serving as a consultant at McKinsey &amp; Company.  He has degrees from Princeton and Wesleyan University.  Most importantly, he is a proud, new father.</w:t>
      </w:r>
    </w:p>
    <w:p w14:paraId="60B1F243" w14:textId="77777777" w:rsidR="00F6607E" w:rsidRPr="006916FC" w:rsidRDefault="00F6607E" w:rsidP="008A7E29">
      <w:pPr>
        <w:widowControl w:val="0"/>
        <w:pBdr>
          <w:bottom w:val="single" w:sz="12" w:space="1" w:color="auto"/>
        </w:pBdr>
        <w:autoSpaceDE w:val="0"/>
        <w:autoSpaceDN w:val="0"/>
        <w:adjustRightInd w:val="0"/>
        <w:spacing w:after="200"/>
        <w:jc w:val="both"/>
        <w:rPr>
          <w:rFonts w:ascii="Didot" w:hAnsi="Didot" w:cs="Didot"/>
          <w:b/>
          <w:lang w:val="en-US"/>
        </w:rPr>
      </w:pPr>
    </w:p>
    <w:p w14:paraId="7AEB1C2F" w14:textId="77777777" w:rsidR="00B9774C" w:rsidRPr="006916FC" w:rsidRDefault="00B9774C" w:rsidP="008A7E29">
      <w:pPr>
        <w:widowControl w:val="0"/>
        <w:autoSpaceDE w:val="0"/>
        <w:autoSpaceDN w:val="0"/>
        <w:adjustRightInd w:val="0"/>
        <w:spacing w:after="200"/>
        <w:jc w:val="both"/>
        <w:rPr>
          <w:rFonts w:ascii="Didot" w:hAnsi="Didot" w:cs="Didot"/>
          <w:color w:val="121212"/>
          <w:sz w:val="22"/>
          <w:szCs w:val="22"/>
          <w:lang w:val="en-US"/>
        </w:rPr>
      </w:pPr>
    </w:p>
    <w:p w14:paraId="12E65032"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289F428A"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The Role of Private Philanthropy in Violence Prevention</w:t>
      </w:r>
    </w:p>
    <w:p w14:paraId="00C880B4" w14:textId="77777777" w:rsidR="00343493" w:rsidRPr="00907B3C" w:rsidRDefault="00343493"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The aim of this presentation is to illustrate the potential of philanthropy in fostering lasting social change and how this may be applied to the field of violence prevention.</w:t>
      </w:r>
    </w:p>
    <w:p w14:paraId="26FE2154" w14:textId="77777777" w:rsidR="00343493" w:rsidRPr="00907B3C" w:rsidRDefault="00343493"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The presentation will describe the comparative advantages of philanthropic </w:t>
      </w:r>
      <w:r w:rsidRPr="00907B3C">
        <w:rPr>
          <w:rFonts w:ascii="Didot" w:hAnsi="Didot" w:cs="Didot"/>
          <w:color w:val="121212"/>
          <w:sz w:val="22"/>
          <w:szCs w:val="22"/>
          <w:lang w:val="en-US"/>
        </w:rPr>
        <w:lastRenderedPageBreak/>
        <w:t>investment including the ability to take risks, serve as an independent convener, capitalize on time-sensitive opportunities, build capacity in a field and exercise patience in waiting for a return on investment.  The presentation will provide historical and current examples, in which philanthropy was instrumental in building a field and creating lasting change.</w:t>
      </w:r>
    </w:p>
    <w:p w14:paraId="7E51663C" w14:textId="77777777" w:rsidR="00343493" w:rsidRPr="00907B3C" w:rsidRDefault="00343493"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The presentation will draw conclusions about the opportunities for philanthropy in the field of violence prevention including outlining the different kinds of field building investments already being made by foundations. The authors will describe cases of successful as well as failed attempts of philanthropy in the field in order to discern lessons learned and identify future opportunities for philanthropy in violence prevention.</w:t>
      </w:r>
    </w:p>
    <w:p w14:paraId="2FF795A0" w14:textId="079ACF56" w:rsidR="00C33C84" w:rsidRPr="00907B3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This contribution will partially draw on an expert survey conducted with key academic experts, practitioners, investors and advocates from the fields of violence prevention and philanthropy.</w:t>
      </w:r>
    </w:p>
    <w:p w14:paraId="4833D5B8" w14:textId="77777777" w:rsidR="00C33C84" w:rsidRPr="006916FC" w:rsidRDefault="00C33C8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2774F1D3" w14:textId="77777777" w:rsidR="00F6607E" w:rsidRPr="006916FC" w:rsidRDefault="00F6607E" w:rsidP="008A7E29">
      <w:pPr>
        <w:widowControl w:val="0"/>
        <w:autoSpaceDE w:val="0"/>
        <w:autoSpaceDN w:val="0"/>
        <w:adjustRightInd w:val="0"/>
        <w:spacing w:after="200"/>
        <w:jc w:val="both"/>
        <w:rPr>
          <w:rFonts w:ascii="Didot" w:hAnsi="Didot" w:cs="Didot"/>
          <w:color w:val="121212"/>
          <w:sz w:val="22"/>
          <w:szCs w:val="22"/>
          <w:lang w:val="en-US"/>
        </w:rPr>
      </w:pPr>
    </w:p>
    <w:p w14:paraId="2F51F870" w14:textId="76B49AC1" w:rsidR="00F6607E" w:rsidRPr="00BB521F" w:rsidRDefault="00F6607E" w:rsidP="008A7E29">
      <w:pPr>
        <w:widowControl w:val="0"/>
        <w:autoSpaceDE w:val="0"/>
        <w:autoSpaceDN w:val="0"/>
        <w:adjustRightInd w:val="0"/>
        <w:spacing w:after="200"/>
        <w:jc w:val="both"/>
        <w:rPr>
          <w:rFonts w:ascii="Didot" w:hAnsi="Didot" w:cs="Didot"/>
          <w:b/>
          <w:color w:val="121212"/>
          <w:lang w:val="en-US"/>
        </w:rPr>
      </w:pPr>
      <w:r w:rsidRPr="00BB521F">
        <w:rPr>
          <w:rFonts w:ascii="Didot" w:hAnsi="Didot" w:cs="Didot"/>
          <w:b/>
          <w:color w:val="121212"/>
          <w:lang w:val="en-US"/>
        </w:rPr>
        <w:t>Summary</w:t>
      </w:r>
    </w:p>
    <w:p w14:paraId="72947EFC" w14:textId="77777777" w:rsidR="00296086" w:rsidRPr="006916FC" w:rsidRDefault="00B86B1F"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The Role of Private Philanthropy in Violence Prevention</w:t>
      </w:r>
    </w:p>
    <w:p w14:paraId="57454A2C" w14:textId="77777777" w:rsidR="00296086" w:rsidRPr="00907B3C" w:rsidRDefault="009A5196" w:rsidP="008A7E29">
      <w:pPr>
        <w:jc w:val="both"/>
        <w:rPr>
          <w:rFonts w:ascii="Didot" w:hAnsi="Didot" w:cs="Didot"/>
          <w:sz w:val="22"/>
          <w:szCs w:val="22"/>
          <w:lang w:val="en-US"/>
        </w:rPr>
      </w:pPr>
      <w:r w:rsidRPr="00907B3C">
        <w:rPr>
          <w:rFonts w:ascii="Didot" w:hAnsi="Didot" w:cs="Didot"/>
          <w:sz w:val="22"/>
          <w:szCs w:val="22"/>
          <w:lang w:val="en-US"/>
        </w:rPr>
        <w:t>The philanthropic community and charities aim to assist those in need and better society as a whole.  It is therefore not surprising that “philanthropy” can be traced back over 2,000 years to its etymological origins in Ancient Greek, when philanthropia literally meant “love for mankind”. Charities usually seek to improve individuals' well-being, whereas philanthropy attempts to help people, communities and institutions to solve social problems at their root causes.</w:t>
      </w:r>
      <w:r w:rsidRPr="00907B3C">
        <w:rPr>
          <w:rFonts w:ascii="Didot" w:hAnsi="Didot" w:cs="Didot"/>
          <w:sz w:val="22"/>
          <w:szCs w:val="22"/>
          <w:lang w:val="en-US"/>
        </w:rPr>
        <w:endnoteReference w:id="1"/>
      </w:r>
      <w:r w:rsidRPr="00907B3C">
        <w:rPr>
          <w:rFonts w:ascii="Didot" w:hAnsi="Didot" w:cs="Didot"/>
          <w:sz w:val="22"/>
          <w:szCs w:val="22"/>
          <w:lang w:val="en-US"/>
        </w:rPr>
        <w:t>,</w:t>
      </w:r>
      <w:r w:rsidRPr="00907B3C">
        <w:rPr>
          <w:rFonts w:ascii="Didot" w:hAnsi="Didot" w:cs="Didot"/>
          <w:sz w:val="22"/>
          <w:szCs w:val="22"/>
          <w:lang w:val="en-US"/>
        </w:rPr>
        <w:endnoteReference w:id="2"/>
      </w:r>
    </w:p>
    <w:p w14:paraId="35E94463" w14:textId="77777777" w:rsidR="00296086" w:rsidRPr="00907B3C" w:rsidRDefault="00296086" w:rsidP="008A7E29">
      <w:pPr>
        <w:jc w:val="both"/>
        <w:rPr>
          <w:rFonts w:ascii="Didot" w:hAnsi="Didot" w:cs="Didot"/>
          <w:sz w:val="22"/>
          <w:szCs w:val="22"/>
          <w:lang w:val="en-US"/>
        </w:rPr>
      </w:pPr>
    </w:p>
    <w:p w14:paraId="56A0123E" w14:textId="01168E87" w:rsidR="00296086" w:rsidRPr="00907B3C" w:rsidRDefault="00164187" w:rsidP="008A7E29">
      <w:pPr>
        <w:jc w:val="both"/>
        <w:rPr>
          <w:rFonts w:ascii="Didot" w:hAnsi="Didot" w:cs="Didot"/>
          <w:sz w:val="22"/>
          <w:szCs w:val="22"/>
        </w:rPr>
      </w:pPr>
      <w:r w:rsidRPr="00907B3C">
        <w:rPr>
          <w:rFonts w:ascii="Didot" w:hAnsi="Didot" w:cs="Didot"/>
          <w:sz w:val="22"/>
          <w:szCs w:val="22"/>
        </w:rPr>
        <w:t xml:space="preserve">1. </w:t>
      </w:r>
      <w:r w:rsidR="00296086" w:rsidRPr="00907B3C">
        <w:rPr>
          <w:rFonts w:ascii="Didot" w:hAnsi="Didot" w:cs="Didot"/>
          <w:sz w:val="22"/>
          <w:szCs w:val="22"/>
        </w:rPr>
        <w:t>Role of philanthropy</w:t>
      </w:r>
    </w:p>
    <w:p w14:paraId="089DB8DF" w14:textId="77777777" w:rsidR="00164187" w:rsidRPr="00907B3C" w:rsidRDefault="00164187" w:rsidP="008A7E29">
      <w:pPr>
        <w:pStyle w:val="ListParagraph"/>
        <w:jc w:val="both"/>
        <w:rPr>
          <w:rFonts w:ascii="Didot" w:hAnsi="Didot" w:cs="Didot"/>
          <w:sz w:val="22"/>
          <w:szCs w:val="22"/>
        </w:rPr>
      </w:pPr>
    </w:p>
    <w:p w14:paraId="7ABABF0B" w14:textId="55E8AAB1" w:rsidR="00296086" w:rsidRPr="00907B3C" w:rsidRDefault="00296086" w:rsidP="008A7E29">
      <w:pPr>
        <w:jc w:val="both"/>
        <w:rPr>
          <w:rFonts w:ascii="Didot" w:hAnsi="Didot" w:cs="Didot"/>
          <w:sz w:val="22"/>
          <w:szCs w:val="22"/>
          <w:lang w:val="en-US"/>
        </w:rPr>
      </w:pPr>
      <w:r w:rsidRPr="00907B3C">
        <w:rPr>
          <w:rFonts w:ascii="Didot" w:hAnsi="Didot" w:cs="Didot"/>
          <w:sz w:val="22"/>
          <w:szCs w:val="22"/>
          <w:lang w:val="en-US"/>
        </w:rPr>
        <w:t xml:space="preserve">Philanthropists and philanthropic organizations are </w:t>
      </w:r>
      <w:proofErr w:type="gramStart"/>
      <w:r w:rsidRPr="00907B3C">
        <w:rPr>
          <w:rFonts w:ascii="Didot" w:hAnsi="Didot" w:cs="Didot"/>
          <w:sz w:val="22"/>
          <w:szCs w:val="22"/>
          <w:lang w:val="en-US"/>
        </w:rPr>
        <w:t>well-positioned</w:t>
      </w:r>
      <w:proofErr w:type="gramEnd"/>
      <w:r w:rsidRPr="00907B3C">
        <w:rPr>
          <w:rFonts w:ascii="Didot" w:hAnsi="Didot" w:cs="Didot"/>
          <w:sz w:val="22"/>
          <w:szCs w:val="22"/>
          <w:lang w:val="en-US"/>
        </w:rPr>
        <w:t xml:space="preserve"> to play a unique role in bridging gaps and realizing beneficial societal outcomes. In the following section, we will highlight five broad categories in which we feel philanthropy can play a key role: (1) Absorbing risks to promote progress; (2) Convening innovative partnerships; (3) Capitalizing on time-sensitive opportunities; (4) Building capacity for improved leverage; (5) Investing with patient capital. </w:t>
      </w:r>
    </w:p>
    <w:p w14:paraId="5AA59D66" w14:textId="77777777" w:rsidR="00164187" w:rsidRPr="00907B3C" w:rsidRDefault="00164187" w:rsidP="008A7E29">
      <w:pPr>
        <w:jc w:val="both"/>
        <w:rPr>
          <w:rFonts w:ascii="Didot" w:hAnsi="Didot" w:cs="Didot"/>
          <w:sz w:val="22"/>
          <w:szCs w:val="22"/>
          <w:lang w:val="en-US"/>
        </w:rPr>
      </w:pPr>
    </w:p>
    <w:p w14:paraId="69400F57" w14:textId="1E943317" w:rsidR="00296086" w:rsidRPr="00907B3C" w:rsidRDefault="00164187" w:rsidP="008A7E29">
      <w:pPr>
        <w:jc w:val="both"/>
        <w:rPr>
          <w:rFonts w:ascii="Didot" w:hAnsi="Didot" w:cs="Didot"/>
          <w:bCs/>
          <w:sz w:val="22"/>
          <w:szCs w:val="22"/>
        </w:rPr>
      </w:pPr>
      <w:r w:rsidRPr="00907B3C">
        <w:rPr>
          <w:rFonts w:ascii="Didot" w:hAnsi="Didot" w:cs="Didot"/>
          <w:bCs/>
          <w:sz w:val="22"/>
          <w:szCs w:val="22"/>
        </w:rPr>
        <w:t xml:space="preserve">2.1 </w:t>
      </w:r>
      <w:r w:rsidR="00296086" w:rsidRPr="00907B3C">
        <w:rPr>
          <w:rFonts w:ascii="Didot" w:hAnsi="Didot" w:cs="Didot"/>
          <w:bCs/>
          <w:sz w:val="22"/>
          <w:szCs w:val="22"/>
        </w:rPr>
        <w:t>Absorbing risks to promote progress</w:t>
      </w:r>
    </w:p>
    <w:p w14:paraId="3678B573" w14:textId="77777777" w:rsidR="00164187" w:rsidRPr="00907B3C" w:rsidRDefault="00164187" w:rsidP="008A7E29">
      <w:pPr>
        <w:jc w:val="both"/>
        <w:rPr>
          <w:rFonts w:ascii="Didot" w:hAnsi="Didot" w:cs="Didot"/>
          <w:bCs/>
          <w:sz w:val="22"/>
          <w:szCs w:val="22"/>
        </w:rPr>
      </w:pPr>
    </w:p>
    <w:p w14:paraId="599970AB"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The philanthropic community has the tools and capital necessary to identify and test promising initiatives with the ultimate aim of demonstrating value and potential scalability. While governments and the private sector may have better capacity to scale-up successful initiatives and programs, they are often too risk-averse to launch activities in the early stages. </w:t>
      </w:r>
    </w:p>
    <w:p w14:paraId="6E8437D2"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A considerable range of real-world examples exist on how philanthropy has benefited social issues by shouldering certain supply-side and demand-side risks in order to generate tangible solutions. For example, innovative financing </w:t>
      </w:r>
      <w:r w:rsidRPr="00907B3C">
        <w:rPr>
          <w:rFonts w:ascii="Didot" w:hAnsi="Didot" w:cs="Didot"/>
          <w:bCs/>
          <w:sz w:val="22"/>
          <w:szCs w:val="22"/>
        </w:rPr>
        <w:lastRenderedPageBreak/>
        <w:t>mechanisms like Development Impact Bonds (DIBs) are able to transfer risk from public agencies to private investors, who provide financing that is only repaid by public agencies if certain agreed upon development outcomes are achieved (CGD 2013). Impact investments, such as DIBs, are meant not only to realize targeted outcomes, but to generate and support greater societal change spanning entire sectors</w:t>
      </w:r>
      <w:r w:rsidRPr="00907B3C">
        <w:rPr>
          <w:rFonts w:ascii="Didot" w:hAnsi="Didot" w:cs="Didot"/>
          <w:bCs/>
          <w:sz w:val="22"/>
          <w:szCs w:val="22"/>
        </w:rPr>
        <w:endnoteReference w:id="3"/>
      </w:r>
      <w:r w:rsidRPr="00907B3C">
        <w:rPr>
          <w:rFonts w:ascii="Didot" w:hAnsi="Didot" w:cs="Didot"/>
          <w:bCs/>
          <w:sz w:val="22"/>
          <w:szCs w:val="22"/>
        </w:rPr>
        <w:t xml:space="preserve">. By testing new unconventional approaches, philanthropy has helped to promote and showcase the importance of affordable private schools in low-income settings (Pearson Affordable Learning Fund), and also paved the way for the 1968 US Public Broadcasting Act, which ultimately delivered educational activities for children through mass media (Sesame Street - Carnegie Foundation). Mass media was not traditionally seen as educational tool until philanthropic donors took the risk to test this new approach which proved to be very effective. </w:t>
      </w:r>
    </w:p>
    <w:p w14:paraId="615E5C1D"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Moreover, philanthropy can enhance the visibility of social issues, even advocate for unpopular issues, by raising the profile of frequently overlooked sectors of the population and their concerns. With the potential for operating outside specific political or economic structures, philanthropic organizations can stand up for disenfranchised or disadvantaged groups. The Ford Foundation has provided grants aimed at supporting democratic governance. Many of these grants were provided to corresponding organizations in Latin America in the 1970s and 80s, when many states in the region were characterized by repressive military regimes. Likewise, in 1996, Shack/Slum Dwellers International (SDI) was launched with philanthropic support in order to establish a network of community-based organizations across 33 countries, enabling slum dwellers to engage directly with governments and avoid evictions. </w:t>
      </w:r>
    </w:p>
    <w:p w14:paraId="1E323EBE" w14:textId="77777777" w:rsidR="00164187" w:rsidRPr="00907B3C" w:rsidRDefault="00164187" w:rsidP="008A7E29">
      <w:pPr>
        <w:jc w:val="both"/>
        <w:rPr>
          <w:rFonts w:ascii="Didot" w:hAnsi="Didot" w:cs="Didot"/>
          <w:bCs/>
          <w:sz w:val="22"/>
          <w:szCs w:val="22"/>
        </w:rPr>
      </w:pPr>
    </w:p>
    <w:p w14:paraId="56C3AAC6" w14:textId="1DC3DB07" w:rsidR="006916FC" w:rsidRPr="00907B3C" w:rsidRDefault="00164187" w:rsidP="008A7E29">
      <w:pPr>
        <w:jc w:val="both"/>
        <w:rPr>
          <w:rFonts w:ascii="Didot" w:hAnsi="Didot" w:cs="Didot"/>
          <w:bCs/>
          <w:sz w:val="22"/>
          <w:szCs w:val="22"/>
        </w:rPr>
      </w:pPr>
      <w:r w:rsidRPr="00907B3C">
        <w:rPr>
          <w:rFonts w:ascii="Didot" w:hAnsi="Didot" w:cs="Didot"/>
          <w:bCs/>
          <w:sz w:val="22"/>
          <w:szCs w:val="22"/>
        </w:rPr>
        <w:t xml:space="preserve">2.2 </w:t>
      </w:r>
      <w:r w:rsidR="00296086" w:rsidRPr="00907B3C">
        <w:rPr>
          <w:rFonts w:ascii="Didot" w:hAnsi="Didot" w:cs="Didot"/>
          <w:bCs/>
          <w:sz w:val="22"/>
          <w:szCs w:val="22"/>
        </w:rPr>
        <w:t>Convening innovative partnerships</w:t>
      </w:r>
    </w:p>
    <w:p w14:paraId="57BA128A" w14:textId="77777777" w:rsidR="00164187" w:rsidRPr="00907B3C" w:rsidRDefault="00164187" w:rsidP="008A7E29">
      <w:pPr>
        <w:jc w:val="both"/>
        <w:rPr>
          <w:rFonts w:ascii="Didot" w:hAnsi="Didot" w:cs="Didot"/>
          <w:bCs/>
          <w:sz w:val="22"/>
          <w:szCs w:val="22"/>
        </w:rPr>
      </w:pPr>
    </w:p>
    <w:p w14:paraId="3F7512CA" w14:textId="2B7B5196"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As an independent body, a philanthropic organization can act as a mediator when there are conflicts and as a convener when there is simply a lack of awareness of potential partners. By establishing independent platforms, philanthropic organizations can also aid in depoliticizing scientific findings and provide additional legitimacy and weight to advocacy and policymaking activities.  In their role as independent conveners, philanthropic organizations can also bring together unexpected partners, among other things in the form of public-private partnerships (PPPs). One such example is the mHealth Alliance, which was founded by the Rockefeller Foundation, United Nations Foundation and Vodafone Foundation to “champion the use of mobile technologies to improve health throughout the world”, while the Skoll Foundation focuses specifically on promoting pioneering partnerships by providing annual grants to support social entrepreneurs and innovators. Philanthropy has spurred the creation of such partnerships around the world, including in Colombia, where an alliance called Primero lo Primero was launched in 2012, aimed specifically at positioning early childhood development on the national government’s agenda and within the private sector. To achieve this objective, the alliance built strategic and financial coalitions that span the public and private sector. Other philanthropic work has aimed to achieve public health goals by taking the expertise and knowledge of both the private and public sectors, and exploiting each of their strengths to find the most efficient and effective solutions, including the Medicines for Malaria Venture spearheaded by Rockefeller foundation, which is working with countries where malaria is endemic, to deliver new and effective antimalarial drugs at affordable prices. </w:t>
      </w:r>
    </w:p>
    <w:p w14:paraId="2D3E6076" w14:textId="77777777" w:rsidR="00164187" w:rsidRPr="00907B3C" w:rsidRDefault="00164187" w:rsidP="008A7E29">
      <w:pPr>
        <w:jc w:val="both"/>
        <w:rPr>
          <w:rFonts w:ascii="Didot" w:hAnsi="Didot" w:cs="Didot"/>
          <w:bCs/>
          <w:sz w:val="22"/>
          <w:szCs w:val="22"/>
        </w:rPr>
      </w:pPr>
    </w:p>
    <w:p w14:paraId="4D076C4D" w14:textId="30D2B338" w:rsidR="00164187" w:rsidRPr="00907B3C" w:rsidRDefault="00296086" w:rsidP="008A7E29">
      <w:pPr>
        <w:jc w:val="both"/>
        <w:rPr>
          <w:rFonts w:ascii="Didot" w:hAnsi="Didot" w:cs="Didot"/>
          <w:bCs/>
          <w:sz w:val="22"/>
          <w:szCs w:val="22"/>
        </w:rPr>
      </w:pPr>
      <w:r w:rsidRPr="00907B3C">
        <w:rPr>
          <w:rFonts w:ascii="Didot" w:hAnsi="Didot" w:cs="Didot"/>
          <w:bCs/>
          <w:sz w:val="22"/>
          <w:szCs w:val="22"/>
        </w:rPr>
        <w:t xml:space="preserve">2.3 Capitalizing on time-sensitive opportunities </w:t>
      </w:r>
    </w:p>
    <w:p w14:paraId="596680B2" w14:textId="77777777" w:rsidR="00164187" w:rsidRPr="00907B3C" w:rsidRDefault="00164187" w:rsidP="008A7E29">
      <w:pPr>
        <w:jc w:val="both"/>
        <w:rPr>
          <w:rFonts w:ascii="Didot" w:hAnsi="Didot" w:cs="Didot"/>
          <w:bCs/>
          <w:sz w:val="22"/>
          <w:szCs w:val="22"/>
        </w:rPr>
      </w:pPr>
    </w:p>
    <w:p w14:paraId="0CF3DF63"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Philanthropy is poised to play an increasingly important role in providing immediate assistance in the face of emergencies and natural disasters. The United Nations Office for Disaster Risk Reduction recently found that, since 2000, natural disasters have caused around $2.5 trillion in damages, with the Intergovernmental Panel on Climate Change predicting that climate change will exacerbate natural disasters in the coming years.  For such events, national governments and the UN often struggle with extensive bureaucratic hurdles and delays in providing aid and support in a timely manner. In some cases, philanthropic organizations have more flexibility to move quickly and effectively in providing support, avoiding the extended consensus-building and decision-making processes faced by other institutions. </w:t>
      </w:r>
    </w:p>
    <w:p w14:paraId="4C641A96" w14:textId="77777777" w:rsidR="00164187" w:rsidRPr="00907B3C" w:rsidRDefault="00164187" w:rsidP="008A7E29">
      <w:pPr>
        <w:jc w:val="both"/>
        <w:rPr>
          <w:rFonts w:ascii="Didot" w:hAnsi="Didot" w:cs="Didot"/>
          <w:bCs/>
          <w:sz w:val="22"/>
          <w:szCs w:val="22"/>
        </w:rPr>
      </w:pPr>
    </w:p>
    <w:p w14:paraId="02CD88FF"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2.4 Building capacity for improved leverage</w:t>
      </w:r>
    </w:p>
    <w:p w14:paraId="375CBD57" w14:textId="77777777" w:rsidR="00164187" w:rsidRPr="00907B3C" w:rsidRDefault="00164187" w:rsidP="008A7E29">
      <w:pPr>
        <w:jc w:val="both"/>
        <w:rPr>
          <w:rFonts w:ascii="Didot" w:hAnsi="Didot" w:cs="Didot"/>
          <w:bCs/>
          <w:sz w:val="22"/>
          <w:szCs w:val="22"/>
        </w:rPr>
      </w:pPr>
    </w:p>
    <w:p w14:paraId="220D62AC"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In order to increase the impact of their philanthropic resources, foundations provide a broad range of support to non-profit organizations and other institutions to build their capacity. Indeed, a recently completed six-year survey conducted by the Center for Effective Philanthropy (CEP) illustrated how foundations can provide their grantees 14 different categories of capacity building</w:t>
      </w:r>
      <w:r w:rsidRPr="00907B3C">
        <w:rPr>
          <w:rFonts w:ascii="Didot" w:hAnsi="Didot" w:cs="Didot"/>
          <w:bCs/>
          <w:sz w:val="22"/>
          <w:szCs w:val="22"/>
        </w:rPr>
        <w:endnoteReference w:id="4"/>
      </w:r>
      <w:r w:rsidRPr="00907B3C">
        <w:rPr>
          <w:rFonts w:ascii="Didot" w:hAnsi="Didot" w:cs="Didot"/>
          <w:bCs/>
          <w:sz w:val="22"/>
          <w:szCs w:val="22"/>
        </w:rPr>
        <w:t>. Building on this set of categories, five broad types of support shall be mentioned here: (1) Strategic and financial planning; (2) Development of performance measures and results-based programming; (3) Research and documenting of best practices; (4) Building up communications and advocacy; (5) Fundraising for additional financial support.</w:t>
      </w:r>
    </w:p>
    <w:p w14:paraId="768F37A0"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In some cases, this support is formalized as a funding requirement to receive support from a philanthropic donor, i.e. setting performance indicators. In other cases, the philanthropic donor can work synergistically with non-profit organizations by making its outreach materials and other communication and dissemination mechanisms available. Additional fundraising support can include giving access to client-based co-financing provided by entities like the UBS Optimus Foundation or Wellspring Advisors. </w:t>
      </w:r>
    </w:p>
    <w:p w14:paraId="6F55EF7B"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In a recent article in Harvard Business Review, Porter and Kramer find that: </w:t>
      </w:r>
    </w:p>
    <w:p w14:paraId="4ED13359" w14:textId="4E38EB01" w:rsidR="00296086" w:rsidRPr="00907B3C" w:rsidRDefault="00296086" w:rsidP="008A7E29">
      <w:pPr>
        <w:jc w:val="both"/>
        <w:rPr>
          <w:rFonts w:ascii="Didot" w:hAnsi="Didot" w:cs="Didot"/>
          <w:bCs/>
          <w:sz w:val="22"/>
          <w:szCs w:val="22"/>
        </w:rPr>
      </w:pPr>
      <w:r w:rsidRPr="00907B3C">
        <w:rPr>
          <w:rFonts w:ascii="Didot" w:hAnsi="Didot" w:cs="Didot"/>
          <w:bCs/>
          <w:sz w:val="22"/>
          <w:szCs w:val="22"/>
        </w:rPr>
        <w:t>Foundations can create still more value if they move from the role of capital provider to the role of fully engaged partner, thereby improving the grantee's effectiveness as an organization. The value created in this way extends beyond the impact of one grant. It raises the social impact of the grantee in all that it does and, to the extent that grantees are willing to learn from one another, it can increase the effectiveness of other organizations as well.</w:t>
      </w:r>
    </w:p>
    <w:p w14:paraId="789C58AE" w14:textId="77777777" w:rsidR="00164187" w:rsidRPr="00907B3C" w:rsidRDefault="00164187" w:rsidP="008A7E29">
      <w:pPr>
        <w:jc w:val="both"/>
        <w:rPr>
          <w:rFonts w:ascii="Didot" w:hAnsi="Didot" w:cs="Didot"/>
          <w:bCs/>
          <w:sz w:val="22"/>
          <w:szCs w:val="22"/>
        </w:rPr>
      </w:pPr>
    </w:p>
    <w:p w14:paraId="4AABCC4D"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2.5 Investing patient capital – aiming for a social return on investment</w:t>
      </w:r>
    </w:p>
    <w:p w14:paraId="21030AD1" w14:textId="77777777" w:rsidR="00164187" w:rsidRPr="00907B3C" w:rsidRDefault="00164187" w:rsidP="008A7E29">
      <w:pPr>
        <w:jc w:val="both"/>
        <w:rPr>
          <w:rFonts w:ascii="Didot" w:hAnsi="Didot" w:cs="Didot"/>
          <w:bCs/>
          <w:sz w:val="22"/>
          <w:szCs w:val="22"/>
        </w:rPr>
      </w:pPr>
    </w:p>
    <w:p w14:paraId="3BC98030"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Another facet of the flexibility that some philanthropic organizations enjoy is that they do not necessarily need to show immediate results delivered via their funding support. While electoral cycles and strategic plans may generate greater risk adversity among public and private sector institutions and also work against medium- and long-term planning, philanthropic organizations can be more patient with their approaches. Likewise, public and private institutions may be prone to frequent shifts in focus, due to changes in leadership and/or their financial </w:t>
      </w:r>
      <w:r w:rsidRPr="00907B3C">
        <w:rPr>
          <w:rFonts w:ascii="Didot" w:hAnsi="Didot" w:cs="Didot"/>
          <w:bCs/>
          <w:sz w:val="22"/>
          <w:szCs w:val="22"/>
        </w:rPr>
        <w:lastRenderedPageBreak/>
        <w:t xml:space="preserve">supporters. Philanthropic organizations, on the other hand, usually have long-term investment horizons, with a considerable degree of risk tolerance, and the ultimate goal of maximizing social returns rather than short-term financial gains. </w:t>
      </w:r>
    </w:p>
    <w:p w14:paraId="3C477F97"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Several examples exist of philanthropic organizations that, with patient capital, have successfully supported long-term social change. Support from the Ford Foundation back in 1976 helped to launch the Grameen Bank, whose founder Prof. Muhammad Yunus was awarded the Nobel Peace Prize in 2006 for pioneering the concepts of </w:t>
      </w:r>
      <w:hyperlink r:id="rId20" w:tooltip="Microcredit" w:history="1">
        <w:r w:rsidRPr="00907B3C">
          <w:rPr>
            <w:rFonts w:ascii="Didot" w:hAnsi="Didot" w:cs="Didot"/>
            <w:bCs/>
            <w:sz w:val="22"/>
            <w:szCs w:val="22"/>
          </w:rPr>
          <w:t>microcredit</w:t>
        </w:r>
      </w:hyperlink>
      <w:r w:rsidRPr="00907B3C">
        <w:rPr>
          <w:rFonts w:ascii="Didot" w:hAnsi="Didot" w:cs="Didot"/>
          <w:bCs/>
          <w:sz w:val="22"/>
          <w:szCs w:val="22"/>
        </w:rPr>
        <w:t xml:space="preserve"> and </w:t>
      </w:r>
      <w:hyperlink r:id="rId21" w:tooltip="Microfinance" w:history="1">
        <w:r w:rsidRPr="00907B3C">
          <w:rPr>
            <w:rFonts w:ascii="Didot" w:hAnsi="Didot" w:cs="Didot"/>
            <w:bCs/>
            <w:sz w:val="22"/>
            <w:szCs w:val="22"/>
          </w:rPr>
          <w:t>microfinance</w:t>
        </w:r>
      </w:hyperlink>
      <w:r w:rsidRPr="00907B3C">
        <w:rPr>
          <w:rFonts w:ascii="Didot" w:hAnsi="Didot" w:cs="Didot"/>
          <w:bCs/>
          <w:sz w:val="22"/>
          <w:szCs w:val="22"/>
        </w:rPr>
        <w:t xml:space="preserve">. Grants provided by the Ford Foundation and Rockefeller Foundation in 1960 also helped to establish the International Rice Research Institute (IRRI) in the Philippines, which over the coming decades has played a crucial role in livelihoods across Asia by developing new rice varieties (Green Revolution). Within the field of early child development, long-term sustained investment has been provided since 1966 by the Bernard van Leer Foundation, supporting socially and economically disadvantaged children up to the age of eight. Collaboration between the Nike Foundation, the NoVo Foundation and the United Nations Foundation communicated via the Girl Effect campaign has also been instrumental in promoting the essential role girls play in development.  </w:t>
      </w:r>
    </w:p>
    <w:p w14:paraId="1DF688A4"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In terms of achieving such long-term impacts, the patient capital invested by philanthropic foundations can be further amplified due to the fact that many are created or supported by prominent individuals with substantial networks of personal and professional connections, and </w:t>
      </w:r>
      <w:proofErr w:type="gramStart"/>
      <w:r w:rsidRPr="00907B3C">
        <w:rPr>
          <w:rFonts w:ascii="Didot" w:hAnsi="Didot" w:cs="Didot"/>
          <w:bCs/>
          <w:sz w:val="22"/>
          <w:szCs w:val="22"/>
        </w:rPr>
        <w:t>may  provide</w:t>
      </w:r>
      <w:proofErr w:type="gramEnd"/>
      <w:r w:rsidRPr="00907B3C">
        <w:rPr>
          <w:rFonts w:ascii="Didot" w:hAnsi="Didot" w:cs="Didot"/>
          <w:bCs/>
          <w:sz w:val="22"/>
          <w:szCs w:val="22"/>
        </w:rPr>
        <w:t xml:space="preserve"> access to corridors of power in ways that may not be as accessible to researchers and other individuals. Likewise, it can have a multiplier effect by priming the pump of government investment in the issue.  </w:t>
      </w:r>
    </w:p>
    <w:p w14:paraId="0CC2B44B" w14:textId="77777777" w:rsidR="00164187" w:rsidRPr="00907B3C" w:rsidRDefault="00164187" w:rsidP="008A7E29">
      <w:pPr>
        <w:jc w:val="both"/>
        <w:rPr>
          <w:rFonts w:ascii="Didot" w:hAnsi="Didot" w:cs="Didot"/>
          <w:bCs/>
          <w:sz w:val="22"/>
          <w:szCs w:val="22"/>
        </w:rPr>
      </w:pPr>
    </w:p>
    <w:p w14:paraId="15E4CBAE"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3. Violence against children</w:t>
      </w:r>
    </w:p>
    <w:p w14:paraId="248B55D9" w14:textId="77777777" w:rsidR="00164187" w:rsidRPr="00907B3C" w:rsidRDefault="00164187" w:rsidP="008A7E29">
      <w:pPr>
        <w:jc w:val="both"/>
        <w:rPr>
          <w:rFonts w:ascii="Didot" w:hAnsi="Didot" w:cs="Didot"/>
          <w:bCs/>
          <w:sz w:val="22"/>
          <w:szCs w:val="22"/>
        </w:rPr>
      </w:pPr>
    </w:p>
    <w:p w14:paraId="05668C5C"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The World Health Organization (WHO) defines violence as "the intentional use of physical force or power, threatened or actual, against oneself, another person, or against a group or community, that either results in or has a high likelihood of resulting in injury, death, psychological harm, maldevelopment, or deprivation."</w:t>
      </w:r>
      <w:r w:rsidRPr="00907B3C">
        <w:rPr>
          <w:rFonts w:ascii="Didot" w:hAnsi="Didot" w:cs="Didot"/>
          <w:bCs/>
          <w:sz w:val="22"/>
          <w:szCs w:val="22"/>
        </w:rPr>
        <w:endnoteReference w:id="5"/>
      </w:r>
      <w:r w:rsidRPr="00907B3C">
        <w:rPr>
          <w:rFonts w:ascii="Didot" w:hAnsi="Didot" w:cs="Didot"/>
          <w:bCs/>
          <w:sz w:val="22"/>
          <w:szCs w:val="22"/>
        </w:rPr>
        <w:t xml:space="preserve"> </w:t>
      </w:r>
    </w:p>
    <w:p w14:paraId="4A235719"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While violence affects all segments of the population, the impact and overall burden is greatest on children, as this period marks the time of greatest vulnerability in a person’s life. Violence during childhood has been linked to negative risk factors and risk-taking behaviors that appear later in life</w:t>
      </w:r>
      <w:r w:rsidRPr="00907B3C">
        <w:rPr>
          <w:rFonts w:ascii="Didot" w:hAnsi="Didot" w:cs="Didot"/>
          <w:bCs/>
          <w:sz w:val="22"/>
          <w:szCs w:val="22"/>
        </w:rPr>
        <w:endnoteReference w:id="6"/>
      </w:r>
      <w:r w:rsidRPr="00907B3C">
        <w:rPr>
          <w:rFonts w:ascii="Didot" w:hAnsi="Didot" w:cs="Didot"/>
          <w:bCs/>
          <w:sz w:val="22"/>
          <w:szCs w:val="22"/>
        </w:rPr>
        <w:t>, ranging from depression and obesity to alcohol and drug abuse.  These factors, in turn, are major contributors to increased rates of heart disease, cancer and suicide.</w:t>
      </w:r>
      <w:r w:rsidRPr="00907B3C">
        <w:rPr>
          <w:rFonts w:ascii="Didot" w:hAnsi="Didot" w:cs="Didot"/>
          <w:bCs/>
          <w:sz w:val="22"/>
          <w:szCs w:val="22"/>
        </w:rPr>
        <w:endnoteReference w:id="7"/>
      </w:r>
      <w:r w:rsidRPr="00907B3C">
        <w:rPr>
          <w:rFonts w:ascii="Didot" w:hAnsi="Didot" w:cs="Didot"/>
          <w:bCs/>
          <w:sz w:val="22"/>
          <w:szCs w:val="22"/>
        </w:rPr>
        <w:t xml:space="preserve">  As Nobel Prize recipient James Heckman puts </w:t>
      </w:r>
      <w:proofErr w:type="gramStart"/>
      <w:r w:rsidRPr="00907B3C">
        <w:rPr>
          <w:rFonts w:ascii="Didot" w:hAnsi="Didot" w:cs="Didot"/>
          <w:bCs/>
          <w:sz w:val="22"/>
          <w:szCs w:val="22"/>
        </w:rPr>
        <w:t>it:  “Family</w:t>
      </w:r>
      <w:proofErr w:type="gramEnd"/>
      <w:r w:rsidRPr="00907B3C">
        <w:rPr>
          <w:rFonts w:ascii="Didot" w:hAnsi="Didot" w:cs="Didot"/>
          <w:bCs/>
          <w:sz w:val="22"/>
          <w:szCs w:val="22"/>
        </w:rPr>
        <w:t xml:space="preserve"> environments of young children are major predictors of cognitive and socio-emotional abilities, as well as a variety of outcomes such as crime and health.”</w:t>
      </w:r>
      <w:r w:rsidRPr="00907B3C">
        <w:rPr>
          <w:rFonts w:ascii="Didot" w:hAnsi="Didot" w:cs="Didot"/>
          <w:bCs/>
          <w:sz w:val="22"/>
          <w:szCs w:val="22"/>
        </w:rPr>
        <w:endnoteReference w:id="8"/>
      </w:r>
    </w:p>
    <w:p w14:paraId="48D14455"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Furthermore, research has shown that conditions of chronic stress are associated with increased violence in homes, as well as harsh punishment and negative intra-family relationships.</w:t>
      </w:r>
      <w:r w:rsidRPr="00907B3C">
        <w:rPr>
          <w:rFonts w:ascii="Didot" w:hAnsi="Didot" w:cs="Didot"/>
          <w:bCs/>
          <w:sz w:val="22"/>
          <w:szCs w:val="22"/>
        </w:rPr>
        <w:endnoteReference w:id="9"/>
      </w:r>
      <w:r w:rsidRPr="00907B3C">
        <w:rPr>
          <w:rFonts w:ascii="Didot" w:hAnsi="Didot" w:cs="Didot"/>
          <w:bCs/>
          <w:sz w:val="22"/>
          <w:szCs w:val="22"/>
        </w:rPr>
        <w:t xml:space="preserve"> The impacts of prolonged exposure to violence and stress are especially prominent in early childhood, as they trigger chronic activation of the body’s stress response system.</w:t>
      </w:r>
      <w:r w:rsidRPr="00907B3C">
        <w:rPr>
          <w:rFonts w:ascii="Didot" w:hAnsi="Didot" w:cs="Didot"/>
          <w:bCs/>
          <w:sz w:val="22"/>
          <w:szCs w:val="22"/>
        </w:rPr>
        <w:endnoteReference w:id="10"/>
      </w:r>
      <w:r w:rsidRPr="00907B3C">
        <w:rPr>
          <w:rFonts w:ascii="Didot" w:hAnsi="Didot" w:cs="Didot"/>
          <w:bCs/>
          <w:sz w:val="22"/>
          <w:szCs w:val="22"/>
        </w:rPr>
        <w:t xml:space="preserve">  The biochemical environment imposed on an infant's brain during critical development stages has permanent effects on the individual’s anatomy and brain.</w:t>
      </w:r>
      <w:r w:rsidRPr="00907B3C">
        <w:rPr>
          <w:rFonts w:ascii="Didot" w:hAnsi="Didot" w:cs="Didot"/>
          <w:bCs/>
          <w:sz w:val="22"/>
          <w:szCs w:val="22"/>
        </w:rPr>
        <w:endnoteReference w:id="11"/>
      </w:r>
      <w:r w:rsidRPr="00907B3C">
        <w:rPr>
          <w:rFonts w:ascii="Didot" w:hAnsi="Didot" w:cs="Didot"/>
          <w:bCs/>
          <w:sz w:val="22"/>
          <w:szCs w:val="22"/>
        </w:rPr>
        <w:t xml:space="preserve">  The most profound outcome is alteration in brain functions</w:t>
      </w:r>
      <w:r w:rsidRPr="00907B3C">
        <w:rPr>
          <w:rFonts w:ascii="Didot" w:hAnsi="Didot" w:cs="Didot"/>
          <w:bCs/>
          <w:sz w:val="22"/>
          <w:szCs w:val="22"/>
        </w:rPr>
        <w:endnoteReference w:id="12"/>
      </w:r>
      <w:r w:rsidRPr="00907B3C">
        <w:rPr>
          <w:rFonts w:ascii="Didot" w:hAnsi="Didot" w:cs="Didot"/>
          <w:bCs/>
          <w:sz w:val="22"/>
          <w:szCs w:val="22"/>
        </w:rPr>
        <w:t xml:space="preserve">, the impacts of which only manifest themselves later in childhood and continue to persist throughout life in the form of deficiencies in </w:t>
      </w:r>
      <w:r w:rsidRPr="00907B3C">
        <w:rPr>
          <w:rFonts w:ascii="Didot" w:hAnsi="Didot" w:cs="Didot"/>
          <w:bCs/>
          <w:sz w:val="22"/>
          <w:szCs w:val="22"/>
        </w:rPr>
        <w:lastRenderedPageBreak/>
        <w:t>physical health, social-emotional wellbeing, memory and learning.  Collectively, this range of negative impacts generates a tremendous economic burden on society through morbidity, disability and death</w:t>
      </w:r>
      <w:r w:rsidRPr="00907B3C">
        <w:rPr>
          <w:rFonts w:ascii="Didot" w:hAnsi="Didot" w:cs="Didot"/>
          <w:bCs/>
          <w:sz w:val="22"/>
          <w:szCs w:val="22"/>
        </w:rPr>
        <w:endnoteReference w:id="13"/>
      </w:r>
      <w:r w:rsidRPr="00907B3C">
        <w:rPr>
          <w:rFonts w:ascii="Didot" w:hAnsi="Didot" w:cs="Didot"/>
          <w:bCs/>
          <w:sz w:val="22"/>
          <w:szCs w:val="22"/>
        </w:rPr>
        <w:t>,</w:t>
      </w:r>
      <w:r w:rsidRPr="00907B3C">
        <w:rPr>
          <w:rFonts w:ascii="Didot" w:hAnsi="Didot" w:cs="Didot"/>
          <w:bCs/>
          <w:sz w:val="22"/>
          <w:szCs w:val="22"/>
        </w:rPr>
        <w:endnoteReference w:id="14"/>
      </w:r>
    </w:p>
    <w:p w14:paraId="1F373A16"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The WHO's Violence Prevention Alliance categorizes violence against children into physical, sexual, psychological and deprivation or neglect. Such forms of violence are truly global in scope, with violence against children confirmed in every geographic context in which it has been measured. Rough estimates suggest that every year 150 million girls and 70 million boys experience sexual violence,</w:t>
      </w:r>
      <w:r w:rsidRPr="00907B3C">
        <w:rPr>
          <w:rFonts w:ascii="Didot" w:hAnsi="Didot" w:cs="Didot"/>
          <w:bCs/>
          <w:sz w:val="22"/>
          <w:szCs w:val="22"/>
        </w:rPr>
        <w:endnoteReference w:id="15"/>
      </w:r>
      <w:r w:rsidRPr="00907B3C">
        <w:rPr>
          <w:rFonts w:ascii="Didot" w:hAnsi="Didot" w:cs="Didot"/>
          <w:bCs/>
          <w:sz w:val="22"/>
          <w:szCs w:val="22"/>
        </w:rPr>
        <w:t xml:space="preserve"> 0.5-1.5 billion children experience physical violence,</w:t>
      </w:r>
      <w:r w:rsidRPr="00907B3C">
        <w:rPr>
          <w:rFonts w:ascii="Didot" w:hAnsi="Didot" w:cs="Didot"/>
          <w:bCs/>
          <w:sz w:val="22"/>
          <w:szCs w:val="22"/>
        </w:rPr>
        <w:endnoteReference w:id="16"/>
      </w:r>
      <w:r w:rsidRPr="00907B3C">
        <w:rPr>
          <w:rFonts w:ascii="Didot" w:hAnsi="Didot" w:cs="Didot"/>
          <w:bCs/>
          <w:sz w:val="22"/>
          <w:szCs w:val="22"/>
        </w:rPr>
        <w:t xml:space="preserve"> and 133-275 million children witness domestic violence.</w:t>
      </w:r>
      <w:r w:rsidRPr="00907B3C">
        <w:rPr>
          <w:rFonts w:ascii="Didot" w:hAnsi="Didot" w:cs="Didot"/>
          <w:bCs/>
          <w:sz w:val="22"/>
          <w:szCs w:val="22"/>
        </w:rPr>
        <w:endnoteReference w:id="17"/>
      </w:r>
      <w:r w:rsidRPr="00907B3C">
        <w:rPr>
          <w:rFonts w:ascii="Didot" w:hAnsi="Didot" w:cs="Didot"/>
          <w:bCs/>
          <w:sz w:val="22"/>
          <w:szCs w:val="22"/>
        </w:rPr>
        <w:t xml:space="preserve">  Children in every country, regardless of socio-economic status, are vulnerable.  In low- and middle-income countries, 30-40% of children aged 2-14 experience physical punishment or aggression in the home.</w:t>
      </w:r>
      <w:r w:rsidRPr="00907B3C">
        <w:rPr>
          <w:rFonts w:ascii="Didot" w:hAnsi="Didot" w:cs="Didot"/>
          <w:bCs/>
          <w:sz w:val="22"/>
          <w:szCs w:val="22"/>
        </w:rPr>
        <w:endnoteReference w:id="18"/>
      </w:r>
      <w:r w:rsidRPr="00907B3C">
        <w:rPr>
          <w:rFonts w:ascii="Didot" w:hAnsi="Didot" w:cs="Didot"/>
          <w:bCs/>
          <w:sz w:val="22"/>
          <w:szCs w:val="22"/>
        </w:rPr>
        <w:t xml:space="preserve">  </w:t>
      </w:r>
    </w:p>
    <w:p w14:paraId="24BC233A"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In addition, there is an increasing evidence-base on the intergenerational transmission of violence</w:t>
      </w:r>
      <w:r w:rsidRPr="00907B3C">
        <w:rPr>
          <w:rFonts w:ascii="Didot" w:hAnsi="Didot" w:cs="Didot"/>
          <w:bCs/>
          <w:sz w:val="22"/>
          <w:szCs w:val="22"/>
        </w:rPr>
        <w:endnoteReference w:id="19"/>
      </w:r>
      <w:r w:rsidRPr="00907B3C">
        <w:rPr>
          <w:rFonts w:ascii="Didot" w:hAnsi="Didot" w:cs="Didot"/>
          <w:bCs/>
          <w:sz w:val="22"/>
          <w:szCs w:val="22"/>
        </w:rPr>
        <w:t xml:space="preserve"> as well as the severe impacts caused when children witness intimate partner violence.</w:t>
      </w:r>
      <w:r w:rsidRPr="00907B3C">
        <w:rPr>
          <w:rFonts w:ascii="Didot" w:hAnsi="Didot" w:cs="Didot"/>
          <w:bCs/>
          <w:sz w:val="22"/>
          <w:szCs w:val="22"/>
        </w:rPr>
        <w:endnoteReference w:id="20"/>
      </w:r>
      <w:r w:rsidRPr="00907B3C">
        <w:rPr>
          <w:rFonts w:ascii="Didot" w:hAnsi="Didot" w:cs="Didot"/>
          <w:bCs/>
          <w:sz w:val="22"/>
          <w:szCs w:val="22"/>
        </w:rPr>
        <w:t xml:space="preserve"> The importance of employing a life-cycle approach to further developing the field has been recognized. However, in consideration of evidence that children, specifically, are subject to the most severe and lasting impacts of violence informs the decision to focus this paper on philanthropy in the prevention of violence against children.</w:t>
      </w:r>
    </w:p>
    <w:p w14:paraId="10692CF1" w14:textId="77777777" w:rsidR="00164187" w:rsidRPr="00907B3C" w:rsidRDefault="00164187" w:rsidP="008A7E29">
      <w:pPr>
        <w:jc w:val="both"/>
        <w:rPr>
          <w:rFonts w:ascii="Didot" w:hAnsi="Didot" w:cs="Didot"/>
          <w:bCs/>
          <w:sz w:val="22"/>
          <w:szCs w:val="22"/>
        </w:rPr>
      </w:pPr>
    </w:p>
    <w:p w14:paraId="60A03B9D"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4. The current role of philanthropy in the prevention of violence against children</w:t>
      </w:r>
    </w:p>
    <w:p w14:paraId="2DEDDB7D" w14:textId="77777777" w:rsidR="00164187" w:rsidRPr="00907B3C" w:rsidRDefault="00164187" w:rsidP="008A7E29">
      <w:pPr>
        <w:jc w:val="both"/>
        <w:rPr>
          <w:rFonts w:ascii="Didot" w:hAnsi="Didot" w:cs="Didot"/>
          <w:bCs/>
          <w:sz w:val="22"/>
          <w:szCs w:val="22"/>
        </w:rPr>
      </w:pPr>
    </w:p>
    <w:p w14:paraId="7E1BE42D"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Violence is still seen by many stakeholders as ubiquitous, intractable or even inevitable. With just a handful of exceptions, governments have not prioritized efforts to address violence against children nor fully appreciated its wide-ranging impact on the health and social development of their countries.  As a consequence, funding for preventing and responding to the problem of violence against children remains quite limited. Hence there is a key opportunity for philanthropy to fill this gap. </w:t>
      </w:r>
    </w:p>
    <w:p w14:paraId="0F0D9301"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A survey was conducted for this publication and included a range of interviews with experts from the research, program implementation and philanthropy communities. On this basis, it concludes that philanthropy has played a significant role in the progress to date on violence prevention, and is considered to be crucial to what may be seen as growing momentum in the field of prevention of violence against children.</w:t>
      </w:r>
      <w:r w:rsidRPr="00907B3C" w:rsidDel="00592449">
        <w:rPr>
          <w:rFonts w:ascii="Didot" w:hAnsi="Didot" w:cs="Didot"/>
          <w:bCs/>
          <w:sz w:val="22"/>
          <w:szCs w:val="22"/>
        </w:rPr>
        <w:t xml:space="preserve"> </w:t>
      </w:r>
      <w:r w:rsidRPr="00907B3C">
        <w:rPr>
          <w:rFonts w:ascii="Didot" w:hAnsi="Didot" w:cs="Didot"/>
          <w:bCs/>
          <w:sz w:val="22"/>
          <w:szCs w:val="22"/>
        </w:rPr>
        <w:t xml:space="preserve">While several such examples are highlighted below, less successful interventions have illustrated the considerable range of challenges inherent to the field, some of which are described in 4.2. </w:t>
      </w:r>
    </w:p>
    <w:p w14:paraId="0FF83E4A" w14:textId="77777777" w:rsidR="00164187" w:rsidRPr="00907B3C" w:rsidRDefault="00164187" w:rsidP="008A7E29">
      <w:pPr>
        <w:jc w:val="both"/>
        <w:rPr>
          <w:rFonts w:ascii="Didot" w:hAnsi="Didot" w:cs="Didot"/>
          <w:bCs/>
          <w:sz w:val="22"/>
          <w:szCs w:val="22"/>
        </w:rPr>
      </w:pPr>
    </w:p>
    <w:p w14:paraId="16CD3C32"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4.1 Highlights of success stories </w:t>
      </w:r>
    </w:p>
    <w:p w14:paraId="417A5AA0" w14:textId="77777777" w:rsidR="00164187" w:rsidRPr="00907B3C" w:rsidRDefault="00164187" w:rsidP="008A7E29">
      <w:pPr>
        <w:jc w:val="both"/>
        <w:rPr>
          <w:rFonts w:ascii="Didot" w:hAnsi="Didot" w:cs="Didot"/>
          <w:bCs/>
          <w:sz w:val="22"/>
          <w:szCs w:val="22"/>
        </w:rPr>
      </w:pPr>
    </w:p>
    <w:p w14:paraId="5A8B11CB"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As described previously, philanthropy has the potential to raise awareness about key issues that, for a variety of reasons, may not be receiving adequate attention or even appear on the agenda of policymakers. This capacity is evident within the field of preventing violence against children, for example in the case of the Girls Not Brides Initiative,</w:t>
      </w:r>
      <w:r w:rsidRPr="00907B3C">
        <w:rPr>
          <w:rFonts w:ascii="Didot" w:hAnsi="Didot" w:cs="Didot"/>
          <w:bCs/>
          <w:sz w:val="22"/>
          <w:szCs w:val="22"/>
        </w:rPr>
        <w:endnoteReference w:id="21"/>
      </w:r>
      <w:r w:rsidRPr="00907B3C">
        <w:rPr>
          <w:rFonts w:ascii="Didot" w:hAnsi="Didot" w:cs="Didot"/>
          <w:bCs/>
          <w:sz w:val="22"/>
          <w:szCs w:val="22"/>
        </w:rPr>
        <w:t xml:space="preserve"> a global partnership of more than 350 civil society organizations from over 60 countries committed to ending child marriage, which has succeeded in packaging and framing an important issue in a manner that captures people's attention. Another successful example can be found in the "Global Initiative to End All Corporal Punishment in Children" in Brazil supported by various philanthropic donors to push for a national law to end corporal punishment against children. A </w:t>
      </w:r>
      <w:r w:rsidRPr="00907B3C">
        <w:rPr>
          <w:rFonts w:ascii="Didot" w:hAnsi="Didot" w:cs="Didot"/>
          <w:bCs/>
          <w:sz w:val="22"/>
          <w:szCs w:val="22"/>
        </w:rPr>
        <w:lastRenderedPageBreak/>
        <w:t>legislation was successfully implemented in 2014 following cooperative efforts spanning donor collaboration, government engagement, celebrity activism, strong ownership and advocacy by local NGOs and participation by key researchers. The funders involved (the Swedish government, Childhood Foundation, Save the Children-Sweden, DFID and local funders, including the Fundacao Xuxs Meneghel) communicated and collaborated, which helped to build momentum that continued on beyond the passage of the law due to sustained efforts.</w:t>
      </w:r>
    </w:p>
    <w:p w14:paraId="24368B77"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The above example illustrates not only philanthropy’s role in pushing a critical issue up the policy agenda, but also its capacity to act as a convener of diverse actors, including from both the public and private sectors. This same positive capacity of philanthropy applies not only to the various spheres of public and private life, but also to the, at times, disparate range of academic disciplines that are unknowingly working to solve different pieces of the same puzzle. </w:t>
      </w:r>
    </w:p>
    <w:p w14:paraId="5B910B3A"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Recognizing the benefits that could be derived from integrating the communities of practice surrounding violence prevention and early childhood development, philanthropic support enabled a meeting to be held on precisely this topic as a pre-conference to the Sixth Milestones of a Global Campaign for Violence Prevention Meeting organized by the WHO in Mexico in 2013. Among other things, this meeting was heralded as a success for convening key experts to shape an agenda and work across sectors to reduce fragmentation of the field. </w:t>
      </w:r>
    </w:p>
    <w:p w14:paraId="66689658"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The experts have also noted the significant contributions made by philanthropy in highlighting the magnitude and consequences of the problem (e.g. surveys conducted by Together for Girls</w:t>
      </w:r>
      <w:r w:rsidRPr="00907B3C">
        <w:rPr>
          <w:rFonts w:ascii="Didot" w:hAnsi="Didot" w:cs="Didot"/>
          <w:bCs/>
          <w:sz w:val="22"/>
          <w:szCs w:val="22"/>
        </w:rPr>
        <w:endnoteReference w:id="22"/>
      </w:r>
      <w:r w:rsidRPr="00907B3C">
        <w:rPr>
          <w:rFonts w:ascii="Didot" w:hAnsi="Didot" w:cs="Didot"/>
          <w:bCs/>
          <w:sz w:val="22"/>
          <w:szCs w:val="22"/>
        </w:rPr>
        <w:t xml:space="preserve"> and the Optimus Studies</w:t>
      </w:r>
      <w:r w:rsidRPr="00907B3C">
        <w:rPr>
          <w:rFonts w:ascii="Didot" w:hAnsi="Didot" w:cs="Didot"/>
          <w:bCs/>
          <w:sz w:val="22"/>
          <w:szCs w:val="22"/>
        </w:rPr>
        <w:endnoteReference w:id="23"/>
      </w:r>
      <w:r w:rsidRPr="00907B3C">
        <w:rPr>
          <w:rFonts w:ascii="Didot" w:hAnsi="Didot" w:cs="Didot"/>
          <w:bCs/>
          <w:sz w:val="22"/>
          <w:szCs w:val="22"/>
        </w:rPr>
        <w:t>). This, in turn, has generated a sense of urgency for moving ahead with identifying solutions and highlighting the fact that some of these solutions are already accessible and actionable. Picking up on this need, the Without Violence project</w:t>
      </w:r>
      <w:r w:rsidRPr="00907B3C">
        <w:rPr>
          <w:rFonts w:ascii="Didot" w:hAnsi="Didot" w:cs="Didot"/>
          <w:bCs/>
          <w:sz w:val="22"/>
          <w:szCs w:val="22"/>
        </w:rPr>
        <w:endnoteReference w:id="24"/>
      </w:r>
      <w:r w:rsidRPr="00907B3C">
        <w:rPr>
          <w:rFonts w:ascii="Didot" w:hAnsi="Didot" w:cs="Didot"/>
          <w:bCs/>
          <w:sz w:val="22"/>
          <w:szCs w:val="22"/>
        </w:rPr>
        <w:t xml:space="preserve"> was set up to help reframe the narrative around the issue so that more people will get involved, and with the hopes that this will eventually help to broker relationships that bring new funders and champions into the field. </w:t>
      </w:r>
    </w:p>
    <w:p w14:paraId="555CABD9"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Considerable success has also been achieved towards strengthening and building up the knowledge base surrounding the prevention of violence against children. One such example can be found in the funding provided by the UBS Optimus Foundation, which enabled the WHO Global Status Report on Violence Prevention including data from 134 governments. The report’s launch is scheduled for </w:t>
      </w:r>
      <w:proofErr w:type="gramStart"/>
      <w:r w:rsidRPr="00907B3C">
        <w:rPr>
          <w:rFonts w:ascii="Didot" w:hAnsi="Didot" w:cs="Didot"/>
          <w:bCs/>
          <w:sz w:val="22"/>
          <w:szCs w:val="22"/>
        </w:rPr>
        <w:t>December</w:t>
      </w:r>
      <w:proofErr w:type="gramEnd"/>
      <w:r w:rsidRPr="00907B3C">
        <w:rPr>
          <w:rFonts w:ascii="Didot" w:hAnsi="Didot" w:cs="Didot"/>
          <w:bCs/>
          <w:sz w:val="22"/>
          <w:szCs w:val="22"/>
        </w:rPr>
        <w:t xml:space="preserve"> 2014, and will provide a benchmark by generating the first ever evaluation of the extent to which countries have been implementing the recommendations of the World Report on Violence and Health, as called for in WHO Resolution 56.24.. Its ultimate aim is to strengthen the capacity of member states to prevent violence, and it will aid them in assessing their violence prevention efforts, tracking future progress in violence prevention internationally, identifying gaps in national responses to violence that need to be addressed and catalyzing further preventative action. </w:t>
      </w:r>
    </w:p>
    <w:p w14:paraId="5F3983AA"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This constructive role in spurring knowledge generation activities was highlighted by the surveyed experts, who emphasized the importance of funding organizations looking beyond implementation to also consider the science and evidence base for such interventions. In contributing to this important area, philanthropy is considered to be a driving force for many knowledge generation activities, particularly towards determining what does and does not work to effectively prevent violence. The surveyed experts repeatedly mentioned the Children and Violence Evaluation Challenge Fund</w:t>
      </w:r>
      <w:r w:rsidRPr="00907B3C">
        <w:rPr>
          <w:rFonts w:ascii="Didot" w:hAnsi="Didot" w:cs="Didot"/>
          <w:bCs/>
          <w:sz w:val="22"/>
          <w:szCs w:val="22"/>
        </w:rPr>
        <w:endnoteReference w:id="25"/>
      </w:r>
      <w:r w:rsidRPr="00907B3C">
        <w:rPr>
          <w:rFonts w:ascii="Didot" w:hAnsi="Didot" w:cs="Didot"/>
          <w:bCs/>
          <w:sz w:val="22"/>
          <w:szCs w:val="22"/>
        </w:rPr>
        <w:t xml:space="preserve"> as a successful example of how to tackle </w:t>
      </w:r>
      <w:r w:rsidRPr="00907B3C">
        <w:rPr>
          <w:rFonts w:ascii="Didot" w:hAnsi="Didot" w:cs="Didot"/>
          <w:bCs/>
          <w:sz w:val="22"/>
          <w:szCs w:val="22"/>
        </w:rPr>
        <w:lastRenderedPageBreak/>
        <w:t xml:space="preserve">this problem. This Fund, initiated by a consortium of philanthropic funders, aims to evaluate violence prevention programs in low- and middle-income countries, build capacity and raise awareness about the importance of evaluation activities. </w:t>
      </w:r>
    </w:p>
    <w:p w14:paraId="3C7CF6D0"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Overall, the surveyed experts also found that philanthropy was driving the expansion and implementation of violence prevention programs far more than traditional science funders. The comparative flexibility of philanthropic organizations in such cases is a cross-cutting benefit, spurring innovative research and partnership building. Such research, for example, has led to the consideration that preventative activities are more cost effective than rehabilitation</w:t>
      </w:r>
      <w:r w:rsidRPr="00907B3C">
        <w:rPr>
          <w:rFonts w:ascii="Didot" w:hAnsi="Didot" w:cs="Didot"/>
          <w:bCs/>
          <w:sz w:val="22"/>
          <w:szCs w:val="22"/>
        </w:rPr>
        <w:endnoteReference w:id="26"/>
      </w:r>
      <w:r w:rsidRPr="00907B3C">
        <w:rPr>
          <w:rFonts w:ascii="Didot" w:hAnsi="Didot" w:cs="Didot"/>
          <w:bCs/>
          <w:sz w:val="22"/>
          <w:szCs w:val="22"/>
        </w:rPr>
        <w:t xml:space="preserve">, which in turn has spurred philanthropic support for a combination of activities focused on prevention and the provisioning of services to victims of violence. </w:t>
      </w:r>
    </w:p>
    <w:p w14:paraId="21154C2D"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Other relevant examples include funding provided to support the activities that have culminated in the establishment of Know Violence, an initiative launched by the Bernard van Leer Foundation that aims to synthesize existing evidence and use the findings for advocacy with key decision makers.</w:t>
      </w:r>
    </w:p>
    <w:p w14:paraId="4918202E"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 It has also been noted that in comparison with funding organizations working on their own, an amplifying effect is often generated by initiatives coming from networks of philanthropic organizations. Elevate Children (formerly known as the Child Protection Funders Group), for example, was founded for this very purpose and acts as a consortium of funders devoted to bridging the gap between evidence-based solutions, policy and practice.</w:t>
      </w:r>
    </w:p>
    <w:p w14:paraId="4D96FBEE" w14:textId="77777777" w:rsidR="00164187" w:rsidRPr="00907B3C" w:rsidRDefault="00164187" w:rsidP="008A7E29">
      <w:pPr>
        <w:jc w:val="both"/>
        <w:rPr>
          <w:rFonts w:ascii="Didot" w:hAnsi="Didot" w:cs="Didot"/>
          <w:bCs/>
          <w:sz w:val="22"/>
          <w:szCs w:val="22"/>
        </w:rPr>
      </w:pPr>
    </w:p>
    <w:p w14:paraId="3D9769A4" w14:textId="77777777" w:rsidR="00296086" w:rsidRPr="00907B3C" w:rsidDel="00CF5892" w:rsidRDefault="00296086" w:rsidP="008A7E29">
      <w:pPr>
        <w:jc w:val="both"/>
        <w:rPr>
          <w:rFonts w:ascii="Didot" w:hAnsi="Didot" w:cs="Didot"/>
          <w:bCs/>
          <w:sz w:val="22"/>
          <w:szCs w:val="22"/>
        </w:rPr>
      </w:pPr>
      <w:r w:rsidRPr="00907B3C">
        <w:rPr>
          <w:rFonts w:ascii="Didot" w:hAnsi="Didot" w:cs="Didot"/>
          <w:bCs/>
          <w:sz w:val="22"/>
          <w:szCs w:val="22"/>
        </w:rPr>
        <w:t xml:space="preserve">4.2 Identifying challenges and failures </w:t>
      </w:r>
    </w:p>
    <w:p w14:paraId="344BBADE" w14:textId="77777777" w:rsidR="00164187" w:rsidRPr="00907B3C" w:rsidRDefault="00164187" w:rsidP="008A7E29">
      <w:pPr>
        <w:jc w:val="both"/>
        <w:rPr>
          <w:rFonts w:ascii="Didot" w:hAnsi="Didot" w:cs="Didot"/>
          <w:bCs/>
          <w:sz w:val="22"/>
          <w:szCs w:val="22"/>
        </w:rPr>
      </w:pPr>
    </w:p>
    <w:p w14:paraId="74BC85C0"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Considering the scale of the challenges posed by violence against children, there is a sense that despite some successes, philanthropy has not yet managed to make a significant dent in the problem. Much work certainly remains to be done. The issue has not emerged as a top priority for many, despite millions of children continuing to suffer from violence, the impacts of which echo across their lives and society as a whole. </w:t>
      </w:r>
    </w:p>
    <w:p w14:paraId="7F641A65"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One of the most frequently mentioned challenges highlighted by experts was the need to further build the evidence base on prevention of violence against children. Experts raised concerns about how extensive funding continues to be provided to efforts with uncertain outcomes. This constitutes a significant risk that scarce funds may be wasted on ineffective or even </w:t>
      </w:r>
      <w:proofErr w:type="gramStart"/>
      <w:r w:rsidRPr="00907B3C">
        <w:rPr>
          <w:rFonts w:ascii="Didot" w:hAnsi="Didot" w:cs="Didot"/>
          <w:bCs/>
          <w:sz w:val="22"/>
          <w:szCs w:val="22"/>
        </w:rPr>
        <w:t>harmful</w:t>
      </w:r>
      <w:proofErr w:type="gramEnd"/>
      <w:r w:rsidRPr="00907B3C">
        <w:rPr>
          <w:rFonts w:ascii="Didot" w:hAnsi="Didot" w:cs="Didot"/>
          <w:bCs/>
          <w:sz w:val="22"/>
          <w:szCs w:val="22"/>
        </w:rPr>
        <w:t xml:space="preserve"> programs, while also drawing attention to the lack of knowledge about the effectiveness of programs in specific contexts and environments. A classic example of such a program is Scared Straight, which involved organized visits to prisons by juvenile delinquents or children at risk for criminal behavior. The program was designed to deter participants from becoming repeat offenders through seeing first-hand the realities of prison life and interacting with adult inmates. When the program was finally evaluated, it was not only found to be ineffective, but was even shown to have had a harmful effect on participants, who demonstrated an increased level of delinquency relative to other juvenile delinquents who had not participated in the program.</w:t>
      </w:r>
      <w:r w:rsidRPr="00907B3C">
        <w:rPr>
          <w:rFonts w:ascii="Didot" w:hAnsi="Didot" w:cs="Didot"/>
          <w:bCs/>
          <w:sz w:val="22"/>
          <w:szCs w:val="22"/>
        </w:rPr>
        <w:endnoteReference w:id="27"/>
      </w:r>
      <w:r w:rsidRPr="00907B3C">
        <w:rPr>
          <w:rFonts w:ascii="Didot" w:hAnsi="Didot" w:cs="Didot"/>
          <w:bCs/>
          <w:sz w:val="22"/>
          <w:szCs w:val="22"/>
        </w:rPr>
        <w:t xml:space="preserve"> </w:t>
      </w:r>
    </w:p>
    <w:p w14:paraId="3E559A70"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An additional key problem identified by the experts is that philanthropic support has not yet led to a successful unifying of the field. While different groups are working on different aspects of the problem, their efforts remain largely uncoordinated. The field continues to suffer from fragmentation, and philanthropy can play a significant role in promoting harmonization and coordination of relevant activities. Along the same lines, experts noted that disproportionate focus is </w:t>
      </w:r>
      <w:r w:rsidRPr="00907B3C">
        <w:rPr>
          <w:rFonts w:ascii="Didot" w:hAnsi="Didot" w:cs="Didot"/>
          <w:bCs/>
          <w:sz w:val="22"/>
          <w:szCs w:val="22"/>
        </w:rPr>
        <w:lastRenderedPageBreak/>
        <w:t xml:space="preserve">currently being paid to certain segments of the population (e.g. reaching lawmakers without also supporting parents/caregivers). The challenge likewise extends to insufficient mechanisms and channels for sharing of experiences among organizations, research agencies and practitioners. </w:t>
      </w:r>
    </w:p>
    <w:p w14:paraId="75129D5D"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Progress will largely depend on the funds available and the community’s success in attracting new funders to invest in the issue. Currently, prevention of violence against children is not receiving the same amount of philanthropic support as other issues associated with early child development and health. With only a small fraction of these funds being steered towards violence prevention, the issue remains peripheral to mainstream discussions, even those specifically focused on children. The challenge of limited funding support is further compounded by funds being dispersed in some cases to organizations that lack the capacity to follow through on the proposed programs. </w:t>
      </w:r>
    </w:p>
    <w:p w14:paraId="584CB595" w14:textId="77777777" w:rsidR="00164187" w:rsidRPr="00907B3C" w:rsidRDefault="00164187" w:rsidP="008A7E29">
      <w:pPr>
        <w:jc w:val="both"/>
        <w:rPr>
          <w:rFonts w:ascii="Didot" w:hAnsi="Didot" w:cs="Didot"/>
          <w:bCs/>
          <w:sz w:val="22"/>
          <w:szCs w:val="22"/>
        </w:rPr>
      </w:pPr>
    </w:p>
    <w:p w14:paraId="662C0174"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5 Conclusions and recommendations</w:t>
      </w:r>
    </w:p>
    <w:p w14:paraId="11DEF44A" w14:textId="77777777" w:rsidR="00164187" w:rsidRPr="00907B3C" w:rsidRDefault="00164187" w:rsidP="008A7E29">
      <w:pPr>
        <w:jc w:val="both"/>
        <w:rPr>
          <w:rFonts w:ascii="Didot" w:hAnsi="Didot" w:cs="Didot"/>
          <w:bCs/>
          <w:sz w:val="22"/>
          <w:szCs w:val="22"/>
        </w:rPr>
      </w:pPr>
    </w:p>
    <w:p w14:paraId="4140A4F8"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The previous sections have highlighted the important role that philanthropy is already playing to enhance concerted action to protect children from violence. Despite a mixture of success stories and unresolved challenges, it is clear that a push to advance the resolution of the problem is growing. Looking forward, a longer-term aim is to achieve significant reductions in violence against children over the next decades, and therefore interrupt intergenerational cycles of violence. In consideration of the challenges and opportunities facing philanthropy’s role in pushing towards this goal, a set of specific recommendations follows. </w:t>
      </w:r>
    </w:p>
    <w:p w14:paraId="314E8896" w14:textId="77777777" w:rsidR="00164187" w:rsidRPr="00907B3C" w:rsidRDefault="00164187" w:rsidP="008A7E29">
      <w:pPr>
        <w:jc w:val="both"/>
        <w:rPr>
          <w:rFonts w:ascii="Didot" w:hAnsi="Didot" w:cs="Didot"/>
          <w:bCs/>
          <w:sz w:val="22"/>
          <w:szCs w:val="22"/>
        </w:rPr>
      </w:pPr>
    </w:p>
    <w:p w14:paraId="68059229"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5.1 Enhance efforts to convene innovative partnerships</w:t>
      </w:r>
    </w:p>
    <w:p w14:paraId="2CDAA3D5" w14:textId="77777777" w:rsidR="00164187" w:rsidRPr="00907B3C" w:rsidRDefault="00164187" w:rsidP="008A7E29">
      <w:pPr>
        <w:jc w:val="both"/>
        <w:rPr>
          <w:rFonts w:ascii="Didot" w:hAnsi="Didot" w:cs="Didot"/>
          <w:bCs/>
          <w:sz w:val="22"/>
          <w:szCs w:val="22"/>
        </w:rPr>
      </w:pPr>
    </w:p>
    <w:p w14:paraId="38C52774"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Stronger efforts are needed to foster connections among experts working in a range of more specialized fields, each of which is contributing in some manner to the prevention of violence against children. Many experts even go one step further by suggesting that specialists and practitioners working to prevent violence against children should reach out to other movements and form stronger bonds with communities working to address related topics such as violence against women (e.g. activities by Promundo and the Sexual Violence Research Initiative</w:t>
      </w:r>
      <w:r w:rsidRPr="00907B3C">
        <w:rPr>
          <w:rFonts w:ascii="Didot" w:hAnsi="Didot" w:cs="Didot"/>
          <w:bCs/>
          <w:sz w:val="22"/>
          <w:szCs w:val="22"/>
        </w:rPr>
        <w:endnoteReference w:id="28"/>
      </w:r>
      <w:r w:rsidRPr="00907B3C">
        <w:rPr>
          <w:rFonts w:ascii="Didot" w:hAnsi="Didot" w:cs="Didot"/>
          <w:bCs/>
          <w:sz w:val="22"/>
          <w:szCs w:val="22"/>
        </w:rPr>
        <w:t>) and early child development (e.g. Global Alliance for Children</w:t>
      </w:r>
      <w:r w:rsidRPr="00907B3C">
        <w:rPr>
          <w:rFonts w:ascii="Didot" w:hAnsi="Didot" w:cs="Didot"/>
          <w:bCs/>
          <w:sz w:val="22"/>
          <w:szCs w:val="22"/>
        </w:rPr>
        <w:endnoteReference w:id="29"/>
      </w:r>
      <w:r w:rsidRPr="00907B3C">
        <w:rPr>
          <w:rFonts w:ascii="Didot" w:hAnsi="Didot" w:cs="Didot"/>
          <w:bCs/>
          <w:sz w:val="22"/>
          <w:szCs w:val="22"/>
        </w:rPr>
        <w:t>).</w:t>
      </w:r>
    </w:p>
    <w:p w14:paraId="7E8770F1"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Philanthropy must be used to enhance individual efforts by bringing together the disparate and uncoordinated activities of different organizations, multi-lateral agencies, governments, and global NGOs. This can help to eliminate overlap and make the best use of limited resources, by promoting more regular and direct communication about the best way to move forward, both independently and as a community. A global meeting on "How to reduce violence by </w:t>
      </w:r>
      <w:proofErr w:type="gramStart"/>
      <w:r w:rsidRPr="00907B3C">
        <w:rPr>
          <w:rFonts w:ascii="Didot" w:hAnsi="Didot" w:cs="Didot"/>
          <w:bCs/>
          <w:sz w:val="22"/>
          <w:szCs w:val="22"/>
        </w:rPr>
        <w:t>50%</w:t>
      </w:r>
      <w:proofErr w:type="gramEnd"/>
      <w:r w:rsidRPr="00907B3C">
        <w:rPr>
          <w:rFonts w:ascii="Didot" w:hAnsi="Didot" w:cs="Didot"/>
          <w:bCs/>
          <w:sz w:val="22"/>
          <w:szCs w:val="22"/>
        </w:rPr>
        <w:t xml:space="preserve"> over the next 30 years" in September 2014, led by the University of Cambridge, UK, convened key global experts to develop evidence-based strategies to reach significant reductions of exposure to violence on a population level globally, which will feed into the World Health Assembly Resolution A67/R15 (strengthening the role of the health system in addressing violence) and the post-2015 sustainable development goals</w:t>
      </w:r>
      <w:r w:rsidRPr="00907B3C">
        <w:rPr>
          <w:rFonts w:ascii="Didot" w:hAnsi="Didot" w:cs="Didot"/>
          <w:bCs/>
          <w:sz w:val="22"/>
          <w:szCs w:val="22"/>
        </w:rPr>
        <w:endnoteReference w:id="30"/>
      </w:r>
      <w:r w:rsidRPr="00907B3C">
        <w:rPr>
          <w:rFonts w:ascii="Didot" w:hAnsi="Didot" w:cs="Didot"/>
          <w:bCs/>
          <w:sz w:val="22"/>
          <w:szCs w:val="22"/>
        </w:rPr>
        <w:t>.While philanthropy can play a critical role in setting and influencing agendas, experts emphasize that such functions need to be exercised in collaboration and on an even footing with practitioners and academics.</w:t>
      </w:r>
    </w:p>
    <w:p w14:paraId="2D04CBA8" w14:textId="77777777" w:rsidR="00296086" w:rsidRPr="00907B3C" w:rsidRDefault="00296086" w:rsidP="008A7E29">
      <w:pPr>
        <w:jc w:val="both"/>
        <w:rPr>
          <w:rFonts w:ascii="Didot" w:hAnsi="Didot" w:cs="Didot"/>
          <w:bCs/>
          <w:sz w:val="22"/>
          <w:szCs w:val="22"/>
        </w:rPr>
      </w:pPr>
    </w:p>
    <w:p w14:paraId="2C05BA7C"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lastRenderedPageBreak/>
        <w:t>5.2 Improve efforts aimed at communications and advocacy</w:t>
      </w:r>
    </w:p>
    <w:p w14:paraId="5ACBE4D7" w14:textId="77777777" w:rsidR="00164187" w:rsidRPr="00907B3C" w:rsidRDefault="00164187" w:rsidP="008A7E29">
      <w:pPr>
        <w:jc w:val="both"/>
        <w:rPr>
          <w:rFonts w:ascii="Didot" w:hAnsi="Didot" w:cs="Didot"/>
          <w:bCs/>
          <w:sz w:val="22"/>
          <w:szCs w:val="22"/>
        </w:rPr>
      </w:pPr>
    </w:p>
    <w:p w14:paraId="72CFE157"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Effective mechanisms need to be developed for communicating both the need to invest in violence prevention and the optimal manner in which to provide such support. An action research survey conducted by Fenton,</w:t>
      </w:r>
      <w:r w:rsidRPr="00907B3C">
        <w:rPr>
          <w:rFonts w:ascii="Didot" w:hAnsi="Didot" w:cs="Didot"/>
          <w:bCs/>
          <w:sz w:val="22"/>
          <w:szCs w:val="22"/>
        </w:rPr>
        <w:endnoteReference w:id="31"/>
      </w:r>
      <w:r w:rsidRPr="00907B3C">
        <w:rPr>
          <w:rFonts w:ascii="Didot" w:hAnsi="Didot" w:cs="Didot"/>
          <w:bCs/>
          <w:sz w:val="22"/>
          <w:szCs w:val="22"/>
        </w:rPr>
        <w:t xml:space="preserve"> for example, concluded that decision-makers do not respond well when presented with highly detailed descriptions of problems, and are far more apt to take up an issue when provided with a set of actionable solutions. Many experts are likewise in agreement that there continues to be a lack of coordinated global advocacy for many other major problems, and that it is nevertheless time to develop a well-resourced and long-term advocacy strategy. Within the scope of such a strategy, experts highlight the need for a common narrative. A promising step in this direction may be seen in the efforts of Know Violence to synthesize available evidence and find pathways for effectively communicating it to policymakers. </w:t>
      </w:r>
    </w:p>
    <w:p w14:paraId="5B16EA5D" w14:textId="77777777" w:rsidR="00164187" w:rsidRPr="00907B3C" w:rsidRDefault="00164187" w:rsidP="008A7E29">
      <w:pPr>
        <w:jc w:val="both"/>
        <w:rPr>
          <w:rFonts w:ascii="Didot" w:hAnsi="Didot" w:cs="Didot"/>
          <w:bCs/>
          <w:sz w:val="22"/>
          <w:szCs w:val="22"/>
        </w:rPr>
      </w:pPr>
    </w:p>
    <w:p w14:paraId="2C04AC96"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5.3 Assume acceptable risks to spur innovation and new ideas</w:t>
      </w:r>
    </w:p>
    <w:p w14:paraId="1929DEF5" w14:textId="77777777" w:rsidR="00164187" w:rsidRPr="00907B3C" w:rsidRDefault="00164187" w:rsidP="008A7E29">
      <w:pPr>
        <w:jc w:val="both"/>
        <w:rPr>
          <w:rFonts w:ascii="Didot" w:hAnsi="Didot" w:cs="Didot"/>
          <w:bCs/>
          <w:sz w:val="22"/>
          <w:szCs w:val="22"/>
        </w:rPr>
      </w:pPr>
    </w:p>
    <w:p w14:paraId="4A5DB236"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Thinking outside the box is necessary in order to advance the field. The philanthropic community must fully utilize its capacity to address thorny or politically divisive issues to bring the field of practice forward. Support should be provided to initiatives like Know Violence that focus on structural drivers for violence against children. Donor-funded agencies are often unable,</w:t>
      </w:r>
      <w:r w:rsidRPr="00907B3C" w:rsidDel="0022222F">
        <w:rPr>
          <w:rFonts w:ascii="Didot" w:hAnsi="Didot" w:cs="Didot"/>
          <w:bCs/>
          <w:sz w:val="22"/>
          <w:szCs w:val="22"/>
        </w:rPr>
        <w:t xml:space="preserve"> </w:t>
      </w:r>
      <w:r w:rsidRPr="00907B3C">
        <w:rPr>
          <w:rFonts w:ascii="Didot" w:hAnsi="Didot" w:cs="Didot"/>
          <w:bCs/>
          <w:sz w:val="22"/>
          <w:szCs w:val="22"/>
        </w:rPr>
        <w:t xml:space="preserve">or unwilling, to seize on such issues like changing social norms. As a result, little is currently known, for example, about the extent to which social determinants such as alcohol, substance abuse and poverty are structural drivers requiring structural solutions (e.g. bans on alcohol advertising and/or higher taxes on alcohol). </w:t>
      </w:r>
    </w:p>
    <w:p w14:paraId="765B296E" w14:textId="77777777" w:rsidR="00164187" w:rsidRPr="00907B3C" w:rsidRDefault="00164187" w:rsidP="008A7E29">
      <w:pPr>
        <w:jc w:val="both"/>
        <w:rPr>
          <w:rFonts w:ascii="Didot" w:hAnsi="Didot" w:cs="Didot"/>
          <w:bCs/>
          <w:sz w:val="22"/>
          <w:szCs w:val="22"/>
        </w:rPr>
      </w:pPr>
    </w:p>
    <w:p w14:paraId="078A928B"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5.4 Build capacity and scale up</w:t>
      </w:r>
    </w:p>
    <w:p w14:paraId="2251454B" w14:textId="77777777" w:rsidR="00164187" w:rsidRPr="00907B3C" w:rsidRDefault="00164187" w:rsidP="008A7E29">
      <w:pPr>
        <w:jc w:val="both"/>
        <w:rPr>
          <w:rFonts w:ascii="Didot" w:hAnsi="Didot" w:cs="Didot"/>
          <w:bCs/>
          <w:sz w:val="22"/>
          <w:szCs w:val="22"/>
        </w:rPr>
      </w:pPr>
    </w:p>
    <w:p w14:paraId="6A249890"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Sustained focus must be placed on carefully assessing the capacity of organizations implementing violence prevention measures and create buy-in from stakeholders for scale-up. This will serve a twofold purpose. Firstly, prior to designating funding in support of violence prevention measures, due diligence needs to be practiced to assess organizational capacity in order to avoid mismatches or sub-optimal dispersal of the limited funding available to violence prevention to activities. Such assessments can also help to identify appropriate capacity building measures to enhance the likelihood of effective implementation. Secondly, in the case of programs that have been proven to be effective, experts have identified the need to build capacity in order to enable scaling up of activities to achieve population-level impact and move towards integrating violence against children prevention and response measures into existing health and </w:t>
      </w:r>
      <w:proofErr w:type="gramStart"/>
      <w:r w:rsidRPr="00907B3C">
        <w:rPr>
          <w:rFonts w:ascii="Didot" w:hAnsi="Didot" w:cs="Didot"/>
          <w:bCs/>
          <w:sz w:val="22"/>
          <w:szCs w:val="22"/>
        </w:rPr>
        <w:t>social</w:t>
      </w:r>
      <w:proofErr w:type="gramEnd"/>
      <w:r w:rsidRPr="00907B3C">
        <w:rPr>
          <w:rFonts w:ascii="Didot" w:hAnsi="Didot" w:cs="Didot"/>
          <w:bCs/>
          <w:sz w:val="22"/>
          <w:szCs w:val="22"/>
        </w:rPr>
        <w:t xml:space="preserve"> systems. </w:t>
      </w:r>
    </w:p>
    <w:p w14:paraId="18FDC3C0" w14:textId="77777777" w:rsidR="00296086" w:rsidRPr="00907B3C" w:rsidRDefault="00296086" w:rsidP="008A7E29">
      <w:pPr>
        <w:jc w:val="both"/>
        <w:rPr>
          <w:rFonts w:ascii="Didot" w:hAnsi="Didot" w:cs="Didot"/>
          <w:bCs/>
          <w:sz w:val="22"/>
          <w:szCs w:val="22"/>
        </w:rPr>
      </w:pPr>
    </w:p>
    <w:p w14:paraId="5A4B64C1"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Only by significantly increasing the money available to the cause can the problem be solved. </w:t>
      </w:r>
    </w:p>
    <w:p w14:paraId="19652F4F"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It is still a small select group of funders that chooses to invest in violence prevention. Currently available funds barely suffice to test innovative approaches to tackle the problem. In order to scale the programs to achieve population level impact, additional funders need to be convinced of the urgency of the cause to further build momentum, with an ultimate goal to hand over some of the philanthropic efforts to multilaterals and later governments. </w:t>
      </w:r>
    </w:p>
    <w:p w14:paraId="59D4B274"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lastRenderedPageBreak/>
        <w:t xml:space="preserve">Successful scale-up requires additional resources, such as improving the evidence base and strengthening the capacity of implementers to rigorously monitor and evaluate program outcomes. Furthermore, building appropriate infrastructures and enabling political will is essential so that the importance of violence prevention is fully embraced and prioritized in the decision-making process. </w:t>
      </w:r>
    </w:p>
    <w:p w14:paraId="4FCEF44A" w14:textId="77777777" w:rsidR="00296086" w:rsidRPr="00907B3C" w:rsidRDefault="00296086" w:rsidP="008A7E29">
      <w:pPr>
        <w:jc w:val="both"/>
        <w:rPr>
          <w:rFonts w:ascii="Didot" w:hAnsi="Didot" w:cs="Didot"/>
          <w:bCs/>
          <w:sz w:val="22"/>
          <w:szCs w:val="22"/>
        </w:rPr>
      </w:pPr>
    </w:p>
    <w:p w14:paraId="517EA727"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5.5 Invest in patient capital </w:t>
      </w:r>
    </w:p>
    <w:p w14:paraId="22DC0A1E" w14:textId="77777777" w:rsidR="00164187" w:rsidRPr="00907B3C" w:rsidRDefault="00164187" w:rsidP="008A7E29">
      <w:pPr>
        <w:jc w:val="both"/>
        <w:rPr>
          <w:rFonts w:ascii="Didot" w:hAnsi="Didot" w:cs="Didot"/>
          <w:bCs/>
          <w:sz w:val="22"/>
          <w:szCs w:val="22"/>
        </w:rPr>
      </w:pPr>
    </w:p>
    <w:p w14:paraId="02DF6F12" w14:textId="77777777" w:rsidR="00296086" w:rsidRPr="00907B3C" w:rsidRDefault="00296086" w:rsidP="008A7E29">
      <w:pPr>
        <w:jc w:val="both"/>
        <w:rPr>
          <w:rFonts w:ascii="Didot" w:hAnsi="Didot" w:cs="Didot"/>
          <w:bCs/>
          <w:sz w:val="22"/>
          <w:szCs w:val="22"/>
        </w:rPr>
      </w:pPr>
      <w:r w:rsidRPr="00907B3C">
        <w:rPr>
          <w:rFonts w:ascii="Didot" w:hAnsi="Didot" w:cs="Didot"/>
          <w:bCs/>
          <w:sz w:val="22"/>
          <w:szCs w:val="22"/>
        </w:rPr>
        <w:t xml:space="preserve">The philanthropic community must fully exercise its capacity to provide long-term, predictable financing for innovative and pioneering violence prevention measures. The violence prevention field is continuing to emerge, and a mix of successful and unsuccessful interventions is to be expected. By providing a stable source of support for such activities, philanthropy can play a crucial role in advancing the field until the body of knowledge and experience has expanded to a point at which the potential risks fall within the acceptable threshold of governments and other actors. </w:t>
      </w:r>
    </w:p>
    <w:p w14:paraId="52BAA123" w14:textId="0B39E4E1" w:rsidR="009A5196" w:rsidRDefault="009A5196" w:rsidP="008A7E29">
      <w:pPr>
        <w:pBdr>
          <w:bottom w:val="single" w:sz="12" w:space="1" w:color="auto"/>
        </w:pBdr>
        <w:jc w:val="both"/>
        <w:rPr>
          <w:rFonts w:ascii="Didot" w:hAnsi="Didot" w:cs="Didot"/>
          <w:bCs/>
          <w:sz w:val="22"/>
          <w:szCs w:val="22"/>
        </w:rPr>
      </w:pPr>
    </w:p>
    <w:p w14:paraId="4243B811" w14:textId="05E7091D" w:rsidR="00AF6CA3" w:rsidRPr="00164187" w:rsidRDefault="00AF6CA3" w:rsidP="008A7E29">
      <w:pPr>
        <w:jc w:val="both"/>
        <w:rPr>
          <w:rFonts w:ascii="Didot" w:hAnsi="Didot" w:cs="Didot"/>
          <w:bCs/>
          <w:sz w:val="22"/>
          <w:szCs w:val="22"/>
        </w:rPr>
      </w:pPr>
      <w:r>
        <w:rPr>
          <w:rFonts w:ascii="Didot" w:hAnsi="Didot" w:cs="Didot"/>
          <w:bCs/>
          <w:sz w:val="22"/>
          <w:szCs w:val="22"/>
        </w:rPr>
        <w:softHyphen/>
      </w:r>
      <w:r>
        <w:rPr>
          <w:rFonts w:ascii="Didot" w:hAnsi="Didot" w:cs="Didot"/>
          <w:bCs/>
          <w:sz w:val="22"/>
          <w:szCs w:val="22"/>
        </w:rPr>
        <w:softHyphen/>
      </w:r>
      <w:r>
        <w:rPr>
          <w:rFonts w:ascii="Didot" w:hAnsi="Didot" w:cs="Didot"/>
          <w:bCs/>
          <w:sz w:val="22"/>
          <w:szCs w:val="22"/>
        </w:rPr>
        <w:softHyphen/>
      </w:r>
      <w:r>
        <w:rPr>
          <w:rFonts w:ascii="Didot" w:hAnsi="Didot" w:cs="Didot"/>
          <w:bCs/>
          <w:sz w:val="22"/>
          <w:szCs w:val="22"/>
        </w:rPr>
        <w:softHyphen/>
      </w:r>
      <w:r>
        <w:rPr>
          <w:rFonts w:ascii="Didot" w:hAnsi="Didot" w:cs="Didot"/>
          <w:bCs/>
          <w:sz w:val="22"/>
          <w:szCs w:val="22"/>
        </w:rPr>
        <w:softHyphen/>
      </w:r>
    </w:p>
    <w:p w14:paraId="3DB56727" w14:textId="0FAD9CDC" w:rsidR="007F4EDF" w:rsidRPr="006916FC" w:rsidRDefault="00900655" w:rsidP="008A7E29">
      <w:pPr>
        <w:pStyle w:val="Heading1"/>
        <w:rPr>
          <w:sz w:val="34"/>
          <w:szCs w:val="34"/>
        </w:rPr>
      </w:pPr>
      <w:r w:rsidRPr="006916FC">
        <w:rPr>
          <w:i/>
          <w:sz w:val="21"/>
          <w:szCs w:val="21"/>
        </w:rPr>
        <w:br w:type="column"/>
      </w:r>
      <w:bookmarkStart w:id="79" w:name="_Toc272639922"/>
      <w:r w:rsidR="00FB23A8">
        <w:rPr>
          <w:i/>
          <w:sz w:val="21"/>
          <w:szCs w:val="21"/>
        </w:rPr>
        <w:lastRenderedPageBreak/>
        <w:br w:type="column"/>
      </w:r>
      <w:bookmarkStart w:id="80" w:name="_Toc272645045"/>
      <w:r w:rsidR="007F4EDF" w:rsidRPr="006916FC">
        <w:rPr>
          <w:sz w:val="34"/>
          <w:szCs w:val="34"/>
        </w:rPr>
        <w:lastRenderedPageBreak/>
        <w:t>Session 8</w:t>
      </w:r>
      <w:bookmarkEnd w:id="79"/>
      <w:bookmarkEnd w:id="80"/>
      <w:r w:rsidR="007F4EDF" w:rsidRPr="006916FC">
        <w:rPr>
          <w:sz w:val="34"/>
          <w:szCs w:val="34"/>
        </w:rPr>
        <w:t xml:space="preserve"> </w:t>
      </w:r>
    </w:p>
    <w:p w14:paraId="73431BE1" w14:textId="77777777" w:rsidR="00343493" w:rsidRPr="006916FC" w:rsidRDefault="00343493" w:rsidP="008A7E29">
      <w:pPr>
        <w:pStyle w:val="Heading1"/>
      </w:pPr>
      <w:bookmarkStart w:id="81" w:name="_Toc272639923"/>
      <w:bookmarkStart w:id="82" w:name="_Toc272645046"/>
      <w:r w:rsidRPr="006916FC">
        <w:t>Scaling Up Interventions and Building Evidence-based Support Systems</w:t>
      </w:r>
      <w:bookmarkEnd w:id="81"/>
      <w:bookmarkEnd w:id="82"/>
    </w:p>
    <w:p w14:paraId="26E5D0CF"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70918956" w14:textId="77777777" w:rsidR="00343493" w:rsidRPr="006916FC" w:rsidRDefault="00343493"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Nancy Guerra - University of Delaware, Director of the Institute for Global Studies </w:t>
      </w:r>
    </w:p>
    <w:p w14:paraId="598863F3" w14:textId="77777777" w:rsidR="00F6607E" w:rsidRPr="006916FC" w:rsidRDefault="00F6607E"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1A4E9929" w14:textId="77777777" w:rsidR="00F11129" w:rsidRPr="00907B3C" w:rsidRDefault="00F11129" w:rsidP="008A7E29">
      <w:pPr>
        <w:widowControl w:val="0"/>
        <w:autoSpaceDE w:val="0"/>
        <w:autoSpaceDN w:val="0"/>
        <w:adjustRightInd w:val="0"/>
        <w:spacing w:after="240"/>
        <w:jc w:val="both"/>
        <w:rPr>
          <w:rFonts w:ascii="Didot" w:hAnsi="Didot" w:cs="Didot"/>
          <w:color w:val="121212"/>
          <w:sz w:val="2"/>
          <w:szCs w:val="2"/>
          <w:lang w:val="en-US"/>
        </w:rPr>
      </w:pPr>
    </w:p>
    <w:p w14:paraId="5456898B" w14:textId="77777777" w:rsidR="00343493" w:rsidRPr="00907B3C" w:rsidRDefault="00343493"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Scaling up evidence-based violence prevention interventions faces formidable challenges, challenges that go some way to explaining why so few such interventions have been implemented across whole populations. Speakers in Session 8, who will focus on preventing violence against children, will discuss some of these challenges – such as the cross-cultural transportability of interventions – and present case studies of efforts to scale up intervention with high-risk populations in South Africa and in conflict-affected countries.</w:t>
      </w:r>
    </w:p>
    <w:p w14:paraId="35753EDA" w14:textId="77777777" w:rsidR="00F11129" w:rsidRPr="006916FC" w:rsidRDefault="00F11129" w:rsidP="008A7E29">
      <w:pPr>
        <w:widowControl w:val="0"/>
        <w:pBdr>
          <w:bottom w:val="single" w:sz="6" w:space="1" w:color="auto"/>
        </w:pBdr>
        <w:autoSpaceDE w:val="0"/>
        <w:autoSpaceDN w:val="0"/>
        <w:adjustRightInd w:val="0"/>
        <w:spacing w:after="200"/>
        <w:jc w:val="both"/>
        <w:rPr>
          <w:rFonts w:ascii="Didot" w:hAnsi="Didot" w:cs="Didot"/>
          <w:bCs/>
          <w:i/>
          <w:color w:val="1A1A1A"/>
          <w:lang w:val="en-US"/>
        </w:rPr>
      </w:pPr>
    </w:p>
    <w:p w14:paraId="6DF90078" w14:textId="77777777" w:rsidR="00D64F9C" w:rsidRPr="006916FC" w:rsidRDefault="00D64F9C" w:rsidP="008A7E29">
      <w:pPr>
        <w:widowControl w:val="0"/>
        <w:autoSpaceDE w:val="0"/>
        <w:autoSpaceDN w:val="0"/>
        <w:adjustRightInd w:val="0"/>
        <w:spacing w:after="200"/>
        <w:jc w:val="both"/>
        <w:rPr>
          <w:rFonts w:ascii="Didot" w:hAnsi="Didot" w:cs="Didot"/>
          <w:bCs/>
          <w:i/>
          <w:color w:val="1A1A1A"/>
          <w:lang w:val="en-US"/>
        </w:rPr>
      </w:pPr>
    </w:p>
    <w:p w14:paraId="2FDAB143" w14:textId="58B19801" w:rsidR="00AB44E4" w:rsidRPr="006916FC" w:rsidRDefault="00AB44E4" w:rsidP="008A7E29">
      <w:pPr>
        <w:pStyle w:val="Heading2"/>
        <w:jc w:val="both"/>
        <w:rPr>
          <w:rFonts w:ascii="Didot" w:hAnsi="Didot" w:cs="Didot"/>
          <w:color w:val="auto"/>
          <w:sz w:val="34"/>
          <w:szCs w:val="34"/>
        </w:rPr>
      </w:pPr>
      <w:bookmarkStart w:id="83" w:name="_Toc272639924"/>
      <w:bookmarkStart w:id="84" w:name="_Toc272645047"/>
      <w:r w:rsidRPr="006916FC">
        <w:rPr>
          <w:rFonts w:ascii="Didot" w:hAnsi="Didot" w:cs="Didot"/>
          <w:color w:val="auto"/>
          <w:sz w:val="34"/>
          <w:szCs w:val="34"/>
        </w:rPr>
        <w:t>Frances Gardner</w:t>
      </w:r>
      <w:bookmarkEnd w:id="83"/>
      <w:bookmarkEnd w:id="84"/>
    </w:p>
    <w:p w14:paraId="1C9F451F" w14:textId="77777777" w:rsidR="00D84C5F" w:rsidRPr="00BB521F" w:rsidRDefault="00D84C5F" w:rsidP="008A7E29">
      <w:pPr>
        <w:widowControl w:val="0"/>
        <w:autoSpaceDE w:val="0"/>
        <w:autoSpaceDN w:val="0"/>
        <w:adjustRightInd w:val="0"/>
        <w:spacing w:after="200"/>
        <w:jc w:val="both"/>
        <w:rPr>
          <w:rFonts w:ascii="Didot" w:hAnsi="Didot" w:cs="Didot"/>
          <w:b/>
          <w:bCs/>
          <w:color w:val="1A1A1A"/>
          <w:lang w:val="en-US"/>
        </w:rPr>
      </w:pPr>
    </w:p>
    <w:p w14:paraId="6AB91042" w14:textId="0847741B" w:rsidR="00AB44E4" w:rsidRPr="00BB521F" w:rsidRDefault="00AB44E4" w:rsidP="008A7E29">
      <w:pPr>
        <w:widowControl w:val="0"/>
        <w:autoSpaceDE w:val="0"/>
        <w:autoSpaceDN w:val="0"/>
        <w:adjustRightInd w:val="0"/>
        <w:spacing w:after="200"/>
        <w:jc w:val="both"/>
        <w:rPr>
          <w:rFonts w:ascii="Didot" w:hAnsi="Didot" w:cs="Didot"/>
          <w:b/>
          <w:bCs/>
          <w:color w:val="1A1A1A"/>
          <w:lang w:val="en-US"/>
        </w:rPr>
      </w:pPr>
      <w:r w:rsidRPr="00BB521F">
        <w:rPr>
          <w:rFonts w:ascii="Didot" w:hAnsi="Didot" w:cs="Didot"/>
          <w:b/>
          <w:bCs/>
          <w:color w:val="1A1A1A"/>
          <w:lang w:val="en-US"/>
        </w:rPr>
        <w:t>Abstract</w:t>
      </w:r>
    </w:p>
    <w:p w14:paraId="30214B03" w14:textId="5B688F76" w:rsidR="00AB44E4" w:rsidRPr="00BB521F" w:rsidRDefault="00AB44E4" w:rsidP="008A7E29">
      <w:pPr>
        <w:widowControl w:val="0"/>
        <w:autoSpaceDE w:val="0"/>
        <w:autoSpaceDN w:val="0"/>
        <w:adjustRightInd w:val="0"/>
        <w:spacing w:after="200"/>
        <w:jc w:val="both"/>
        <w:rPr>
          <w:rFonts w:ascii="Didot" w:hAnsi="Didot" w:cs="Didot"/>
          <w:b/>
          <w:bCs/>
          <w:color w:val="1A1A1A"/>
          <w:lang w:val="en-GB"/>
        </w:rPr>
      </w:pPr>
      <w:r w:rsidRPr="00BB521F">
        <w:rPr>
          <w:rFonts w:ascii="Didot" w:hAnsi="Didot" w:cs="Didot"/>
          <w:b/>
          <w:bCs/>
          <w:color w:val="1A1A1A"/>
          <w:lang w:val="en-GB"/>
        </w:rPr>
        <w:t>Parenting programmes to prevent violence: Effective, transportable and civilising? (</w:t>
      </w:r>
      <w:proofErr w:type="gramStart"/>
      <w:r w:rsidRPr="00BB521F">
        <w:rPr>
          <w:rFonts w:ascii="Didot" w:hAnsi="Didot" w:cs="Didot"/>
          <w:b/>
          <w:bCs/>
          <w:color w:val="1A1A1A"/>
          <w:lang w:val="en-GB"/>
        </w:rPr>
        <w:t>or</w:t>
      </w:r>
      <w:proofErr w:type="gramEnd"/>
      <w:r w:rsidRPr="00BB521F">
        <w:rPr>
          <w:rFonts w:ascii="Didot" w:hAnsi="Didot" w:cs="Didot"/>
          <w:b/>
          <w:bCs/>
          <w:color w:val="1A1A1A"/>
          <w:lang w:val="en-GB"/>
        </w:rPr>
        <w:t>....from Pinker to Triple P)</w:t>
      </w:r>
    </w:p>
    <w:p w14:paraId="73F9E983" w14:textId="6A4DEC51"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Epidemiological evidence shows that youth violence and antisocial behaviour are common and persistent. Several risk factors have been identified, including family and community violence and poverty and poor parenting, meaning that early detection and prevention are strong possibilities. The problem of parental violence towards children shares similar risk factors, and prevalence is high in many LMIC (UNICEF, 2010). </w:t>
      </w:r>
      <w:proofErr w:type="gramStart"/>
      <w:r w:rsidRPr="00907B3C">
        <w:rPr>
          <w:rFonts w:ascii="Didot" w:hAnsi="Didot" w:cs="Didot"/>
          <w:color w:val="121212"/>
          <w:sz w:val="22"/>
          <w:szCs w:val="22"/>
          <w:lang w:val="en-GB"/>
        </w:rPr>
        <w:t xml:space="preserve">Evidence from systematic reviews and randomised trials in many countries shows that parenting interventions can reduce violence both </w:t>
      </w:r>
      <w:r w:rsidRPr="00907B3C">
        <w:rPr>
          <w:rFonts w:ascii="Didot" w:hAnsi="Didot" w:cs="Didot"/>
          <w:b/>
          <w:color w:val="121212"/>
          <w:sz w:val="22"/>
          <w:szCs w:val="22"/>
          <w:lang w:val="en-GB"/>
        </w:rPr>
        <w:t>by</w:t>
      </w:r>
      <w:r w:rsidRPr="00907B3C">
        <w:rPr>
          <w:rFonts w:ascii="Didot" w:hAnsi="Didot" w:cs="Didot"/>
          <w:color w:val="121212"/>
          <w:sz w:val="22"/>
          <w:szCs w:val="22"/>
          <w:lang w:val="en-GB"/>
        </w:rPr>
        <w:t xml:space="preserve"> and </w:t>
      </w:r>
      <w:r w:rsidRPr="00907B3C">
        <w:rPr>
          <w:rFonts w:ascii="Didot" w:hAnsi="Didot" w:cs="Didot"/>
          <w:b/>
          <w:color w:val="121212"/>
          <w:sz w:val="22"/>
          <w:szCs w:val="22"/>
          <w:lang w:val="en-GB"/>
        </w:rPr>
        <w:t>towards</w:t>
      </w:r>
      <w:r w:rsidRPr="00907B3C">
        <w:rPr>
          <w:rFonts w:ascii="Didot" w:hAnsi="Didot" w:cs="Didot"/>
          <w:color w:val="121212"/>
          <w:sz w:val="22"/>
          <w:szCs w:val="22"/>
          <w:lang w:val="en-GB"/>
        </w:rPr>
        <w:t xml:space="preserve"> children.</w:t>
      </w:r>
      <w:proofErr w:type="gramEnd"/>
      <w:r w:rsidRPr="00907B3C">
        <w:rPr>
          <w:rFonts w:ascii="Didot" w:hAnsi="Didot" w:cs="Didot"/>
          <w:color w:val="121212"/>
          <w:sz w:val="22"/>
          <w:szCs w:val="22"/>
          <w:lang w:val="en-GB"/>
        </w:rPr>
        <w:t xml:space="preserve"> This is reflected in major policy statements (eg WHO, UNODC). Specifically, parenting interventions can reduce child aggression and behavioural </w:t>
      </w:r>
      <w:r w:rsidRPr="00907B3C">
        <w:rPr>
          <w:rFonts w:ascii="Didot" w:hAnsi="Didot" w:cs="Didot"/>
          <w:color w:val="121212"/>
          <w:sz w:val="22"/>
          <w:szCs w:val="22"/>
          <w:lang w:val="en-GB"/>
        </w:rPr>
        <w:lastRenderedPageBreak/>
        <w:t xml:space="preserve">problems, reduce harsh parenting and improve positive parenting, and appear to be effective in disadvantaged groups. A recent systematic review showed promising evidence for effectiveness from 12 randomised trials in LMIC (Knerr, Gardner, Cluver, 2013). </w:t>
      </w:r>
    </w:p>
    <w:p w14:paraId="55804CDC" w14:textId="77777777" w:rsidR="00AB44E4" w:rsidRPr="006916FC" w:rsidRDefault="00AB44E4" w:rsidP="008A7E29">
      <w:pPr>
        <w:widowControl w:val="0"/>
        <w:pBdr>
          <w:bottom w:val="single" w:sz="12" w:space="1" w:color="auto"/>
        </w:pBdr>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If there is so much good evidence, then why don’t we just roll these out everywhere?  This paper discusses key challenges in doing this, and possible solutions based on recent evidence, concerning transportability of programmes across countries (Gardner et al, 2014), systems for enhancing capacity and sustainability, especially in low-resource contexts, making programmes less complicated and more efficient, investigating for whom they work less well, and ensuring evidence is transparent and believable (Gottfredson et al, 2014). Finally, it discusses whether taking a historical approach, based on understanding factors that may have led to a decline in violence over time, can help in the design of preventive interventions. Parenting could be seen </w:t>
      </w:r>
      <w:proofErr w:type="gramStart"/>
      <w:r w:rsidRPr="00907B3C">
        <w:rPr>
          <w:rFonts w:ascii="Didot" w:hAnsi="Didot" w:cs="Didot"/>
          <w:color w:val="121212"/>
          <w:sz w:val="22"/>
          <w:szCs w:val="22"/>
          <w:lang w:val="en-GB"/>
        </w:rPr>
        <w:t>as an important facet of Pinker’s (2011) ‘civilising’ process, and importantly, it is one factor where we have substantial direct evidence about its causal effects, from randomised intervention trials</w:t>
      </w:r>
      <w:proofErr w:type="gramEnd"/>
      <w:r w:rsidRPr="00907B3C">
        <w:rPr>
          <w:rFonts w:ascii="Didot" w:hAnsi="Didot" w:cs="Didot"/>
          <w:color w:val="121212"/>
          <w:sz w:val="22"/>
          <w:szCs w:val="22"/>
          <w:lang w:val="en-GB"/>
        </w:rPr>
        <w:t xml:space="preserve">. Nevertheless, </w:t>
      </w:r>
      <w:proofErr w:type="gramStart"/>
      <w:r w:rsidRPr="00907B3C">
        <w:rPr>
          <w:rFonts w:ascii="Didot" w:hAnsi="Didot" w:cs="Didot"/>
          <w:color w:val="121212"/>
          <w:sz w:val="22"/>
          <w:szCs w:val="22"/>
          <w:lang w:val="en-GB"/>
        </w:rPr>
        <w:t>many questions are raised by taking a ‘civilising’ approach</w:t>
      </w:r>
      <w:proofErr w:type="gramEnd"/>
      <w:r w:rsidRPr="00907B3C">
        <w:rPr>
          <w:rFonts w:ascii="Didot" w:hAnsi="Didot" w:cs="Didot"/>
          <w:color w:val="121212"/>
          <w:sz w:val="22"/>
          <w:szCs w:val="22"/>
          <w:lang w:val="en-GB"/>
        </w:rPr>
        <w:t>, especially whether we have the technology for changing attitudes and norms about parenting, as opposed to changing parenting behaviour, which is the focus of most effective interventions.</w:t>
      </w:r>
      <w:r w:rsidRPr="006916FC">
        <w:rPr>
          <w:rFonts w:ascii="Didot" w:hAnsi="Didot" w:cs="Didot"/>
          <w:color w:val="121212"/>
          <w:sz w:val="22"/>
          <w:szCs w:val="22"/>
          <w:lang w:val="en-GB"/>
        </w:rPr>
        <w:t xml:space="preserve">  </w:t>
      </w:r>
    </w:p>
    <w:p w14:paraId="566A47B7" w14:textId="77777777" w:rsidR="00AB44E4" w:rsidRPr="006916FC" w:rsidRDefault="00AB44E4" w:rsidP="008A7E29">
      <w:pPr>
        <w:widowControl w:val="0"/>
        <w:pBdr>
          <w:bottom w:val="single" w:sz="12" w:space="1" w:color="auto"/>
        </w:pBdr>
        <w:autoSpaceDE w:val="0"/>
        <w:autoSpaceDN w:val="0"/>
        <w:adjustRightInd w:val="0"/>
        <w:spacing w:after="200"/>
        <w:jc w:val="both"/>
        <w:rPr>
          <w:rFonts w:ascii="Didot" w:hAnsi="Didot" w:cs="Didot"/>
          <w:color w:val="121212"/>
          <w:sz w:val="22"/>
          <w:szCs w:val="22"/>
          <w:lang w:val="en-GB"/>
        </w:rPr>
      </w:pPr>
    </w:p>
    <w:p w14:paraId="3BE6AE95" w14:textId="77777777" w:rsidR="00AB44E4" w:rsidRPr="00BB521F" w:rsidRDefault="00AB44E4" w:rsidP="008A7E29">
      <w:pPr>
        <w:widowControl w:val="0"/>
        <w:autoSpaceDE w:val="0"/>
        <w:autoSpaceDN w:val="0"/>
        <w:adjustRightInd w:val="0"/>
        <w:spacing w:after="200"/>
        <w:jc w:val="both"/>
        <w:rPr>
          <w:rFonts w:ascii="Didot" w:hAnsi="Didot" w:cs="Didot"/>
          <w:color w:val="121212"/>
          <w:lang w:val="en-GB"/>
        </w:rPr>
      </w:pPr>
    </w:p>
    <w:p w14:paraId="464E204E" w14:textId="591A6A63" w:rsidR="00AB44E4" w:rsidRPr="00BB521F" w:rsidRDefault="00AB44E4" w:rsidP="008A7E29">
      <w:pPr>
        <w:widowControl w:val="0"/>
        <w:autoSpaceDE w:val="0"/>
        <w:autoSpaceDN w:val="0"/>
        <w:adjustRightInd w:val="0"/>
        <w:spacing w:after="200"/>
        <w:jc w:val="both"/>
        <w:rPr>
          <w:rFonts w:ascii="Didot" w:hAnsi="Didot" w:cs="Didot"/>
          <w:b/>
          <w:bCs/>
          <w:color w:val="1A1A1A"/>
          <w:lang w:val="en-GB"/>
        </w:rPr>
      </w:pPr>
      <w:r w:rsidRPr="00BB521F">
        <w:rPr>
          <w:rFonts w:ascii="Didot" w:hAnsi="Didot" w:cs="Didot"/>
          <w:b/>
          <w:bCs/>
          <w:color w:val="1A1A1A"/>
          <w:lang w:val="en-GB"/>
        </w:rPr>
        <w:t>Summary</w:t>
      </w:r>
    </w:p>
    <w:p w14:paraId="1FF0B272" w14:textId="77777777" w:rsidR="00AB44E4" w:rsidRPr="00BB521F" w:rsidRDefault="00AB44E4" w:rsidP="008A7E29">
      <w:pPr>
        <w:widowControl w:val="0"/>
        <w:autoSpaceDE w:val="0"/>
        <w:autoSpaceDN w:val="0"/>
        <w:adjustRightInd w:val="0"/>
        <w:spacing w:after="200"/>
        <w:jc w:val="both"/>
        <w:rPr>
          <w:rFonts w:ascii="Didot" w:hAnsi="Didot" w:cs="Didot"/>
          <w:b/>
          <w:bCs/>
          <w:color w:val="1A1A1A"/>
          <w:lang w:val="en-GB"/>
        </w:rPr>
      </w:pPr>
      <w:r w:rsidRPr="00BB521F">
        <w:rPr>
          <w:rFonts w:ascii="Didot" w:hAnsi="Didot" w:cs="Didot"/>
          <w:b/>
          <w:bCs/>
          <w:color w:val="1A1A1A"/>
          <w:lang w:val="en-GB"/>
        </w:rPr>
        <w:t>Parenting programmes to prevent violence: Effective, transportable and civilising? (</w:t>
      </w:r>
      <w:proofErr w:type="gramStart"/>
      <w:r w:rsidRPr="00BB521F">
        <w:rPr>
          <w:rFonts w:ascii="Didot" w:hAnsi="Didot" w:cs="Didot"/>
          <w:b/>
          <w:bCs/>
          <w:color w:val="1A1A1A"/>
          <w:lang w:val="en-GB"/>
        </w:rPr>
        <w:t>or</w:t>
      </w:r>
      <w:proofErr w:type="gramEnd"/>
      <w:r w:rsidRPr="00BB521F">
        <w:rPr>
          <w:rFonts w:ascii="Didot" w:hAnsi="Didot" w:cs="Didot"/>
          <w:b/>
          <w:bCs/>
          <w:color w:val="1A1A1A"/>
          <w:lang w:val="en-GB"/>
        </w:rPr>
        <w:t>....from Pinker to Triple P)</w:t>
      </w:r>
    </w:p>
    <w:p w14:paraId="54BFACA8" w14:textId="5B1A043E" w:rsidR="00AB44E4" w:rsidRPr="00907B3C" w:rsidRDefault="00AB44E4" w:rsidP="008A7E29">
      <w:pPr>
        <w:widowControl w:val="0"/>
        <w:numPr>
          <w:ilvl w:val="0"/>
          <w:numId w:val="35"/>
        </w:numPr>
        <w:autoSpaceDE w:val="0"/>
        <w:autoSpaceDN w:val="0"/>
        <w:adjustRightInd w:val="0"/>
        <w:spacing w:after="200"/>
        <w:jc w:val="both"/>
        <w:rPr>
          <w:rFonts w:ascii="Didot" w:hAnsi="Didot" w:cs="Didot"/>
          <w:b/>
          <w:color w:val="121212"/>
          <w:sz w:val="22"/>
          <w:szCs w:val="22"/>
          <w:lang w:val="en-US"/>
        </w:rPr>
      </w:pPr>
      <w:r w:rsidRPr="00907B3C">
        <w:rPr>
          <w:rFonts w:ascii="Didot" w:hAnsi="Didot" w:cs="Didot"/>
          <w:b/>
          <w:color w:val="121212"/>
          <w:sz w:val="22"/>
          <w:szCs w:val="22"/>
          <w:lang w:val="en-US"/>
        </w:rPr>
        <w:t>Introduction</w:t>
      </w:r>
    </w:p>
    <w:p w14:paraId="584F86B1"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A substantial body of evidence from randomised trials suggests that structured, social learning theory-based parenting interventions can reduce violence </w:t>
      </w:r>
      <w:r w:rsidRPr="00907B3C">
        <w:rPr>
          <w:rFonts w:ascii="Didot" w:hAnsi="Didot" w:cs="Didot"/>
          <w:b/>
          <w:color w:val="121212"/>
          <w:sz w:val="22"/>
          <w:szCs w:val="22"/>
          <w:lang w:val="en-GB"/>
        </w:rPr>
        <w:t>towards</w:t>
      </w:r>
      <w:r w:rsidRPr="00907B3C">
        <w:rPr>
          <w:rFonts w:ascii="Didot" w:hAnsi="Didot" w:cs="Didot"/>
          <w:color w:val="121212"/>
          <w:sz w:val="22"/>
          <w:szCs w:val="22"/>
          <w:lang w:val="en-GB"/>
        </w:rPr>
        <w:t xml:space="preserve"> children, in the form of reducing harsh parenting and physical maltreatment, and violence </w:t>
      </w:r>
      <w:r w:rsidRPr="00907B3C">
        <w:rPr>
          <w:rFonts w:ascii="Didot" w:hAnsi="Didot" w:cs="Didot"/>
          <w:b/>
          <w:color w:val="121212"/>
          <w:sz w:val="22"/>
          <w:szCs w:val="22"/>
          <w:lang w:val="en-GB"/>
        </w:rPr>
        <w:t>by</w:t>
      </w:r>
      <w:r w:rsidRPr="00907B3C">
        <w:rPr>
          <w:rFonts w:ascii="Didot" w:hAnsi="Didot" w:cs="Didot"/>
          <w:color w:val="121212"/>
          <w:sz w:val="22"/>
          <w:szCs w:val="22"/>
          <w:lang w:val="en-GB"/>
        </w:rPr>
        <w:t xml:space="preserve"> children in the form of aggression and antisocial behaviour. This is reflected in major policy statements by national and international policy bodies (e.g., WHO, 2010; UNODC, 2009; NICE, 2013). </w:t>
      </w:r>
    </w:p>
    <w:p w14:paraId="7DEF1016" w14:textId="77777777" w:rsidR="00AB44E4" w:rsidRPr="00907B3C" w:rsidRDefault="00AB44E4" w:rsidP="008A7E29">
      <w:pPr>
        <w:widowControl w:val="0"/>
        <w:numPr>
          <w:ilvl w:val="0"/>
          <w:numId w:val="35"/>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b/>
          <w:color w:val="121212"/>
          <w:sz w:val="22"/>
          <w:szCs w:val="22"/>
          <w:lang w:val="en-US"/>
        </w:rPr>
        <w:t xml:space="preserve">Brief review of the evidence: </w:t>
      </w:r>
    </w:p>
    <w:p w14:paraId="5749096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Prevalence and risk factors: Evidence about the substantial size of the problem of youth violence and antisocial behaviour is well known in many high income, and in some low and middle-income countries (LMIC). Risk factors have been studied mainly in high-income countries (although with a growing number of studies in LMIC; Gardner et al., 2014a, Murray et al, 2013), and include harsh parenting, parental violence and criminality, parental mental illness, and child temperamental factors. These risk factors are particularly common in communities where there are high levels of poverty or violence, and poverty often co-occurs with, and may exacerbate, these risks. Given that these risk factors are present in early in children’s development, and that there are strong continuities between early </w:t>
      </w:r>
      <w:r w:rsidRPr="00907B3C">
        <w:rPr>
          <w:rFonts w:ascii="Didot" w:hAnsi="Didot" w:cs="Didot"/>
          <w:color w:val="121212"/>
          <w:sz w:val="22"/>
          <w:szCs w:val="22"/>
          <w:lang w:val="en-GB"/>
        </w:rPr>
        <w:lastRenderedPageBreak/>
        <w:t xml:space="preserve">behavioural problems and later violence and antisocial behaviour, then a powerful argument can be made for policies of early detection and prevention. The problem of parental violence and harshness towards children shares many of these same risk factors, with prevalence particularly high in many LMIC (UNICEF, 2010). </w:t>
      </w:r>
    </w:p>
    <w:p w14:paraId="27F9FC4C"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p>
    <w:p w14:paraId="3C50C793"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r w:rsidRPr="00907B3C">
        <w:rPr>
          <w:rFonts w:ascii="Didot" w:hAnsi="Didot" w:cs="Didot"/>
          <w:b/>
          <w:color w:val="121212"/>
          <w:sz w:val="22"/>
          <w:szCs w:val="22"/>
          <w:lang w:val="en-GB"/>
        </w:rPr>
        <w:t xml:space="preserve">Intervention evidence: </w:t>
      </w:r>
      <w:r w:rsidRPr="00907B3C">
        <w:rPr>
          <w:rFonts w:ascii="Didot" w:hAnsi="Didot" w:cs="Didot"/>
          <w:color w:val="121212"/>
          <w:sz w:val="22"/>
          <w:szCs w:val="22"/>
          <w:lang w:val="en-GB"/>
        </w:rPr>
        <w:t>There have been many hundreds of randomised controlled trials of parenting interventions and multiple systematic reviews (Barlow et al., 2006; Furlong et al, 2012; Piquero et al.</w:t>
      </w:r>
      <w:proofErr w:type="gramStart"/>
      <w:r w:rsidRPr="00907B3C">
        <w:rPr>
          <w:rFonts w:ascii="Didot" w:hAnsi="Didot" w:cs="Didot"/>
          <w:color w:val="121212"/>
          <w:sz w:val="22"/>
          <w:szCs w:val="22"/>
          <w:lang w:val="en-GB"/>
        </w:rPr>
        <w:t>,2008</w:t>
      </w:r>
      <w:proofErr w:type="gramEnd"/>
      <w:r w:rsidRPr="00907B3C">
        <w:rPr>
          <w:rFonts w:ascii="Didot" w:hAnsi="Didot" w:cs="Didot"/>
          <w:color w:val="121212"/>
          <w:sz w:val="22"/>
          <w:szCs w:val="22"/>
          <w:lang w:val="en-GB"/>
        </w:rPr>
        <w:t>) showing that they:</w:t>
      </w:r>
    </w:p>
    <w:p w14:paraId="020535B0" w14:textId="77777777" w:rsidR="00AB44E4" w:rsidRPr="00907B3C" w:rsidRDefault="00AB44E4" w:rsidP="008A7E29">
      <w:pPr>
        <w:widowControl w:val="0"/>
        <w:numPr>
          <w:ilvl w:val="0"/>
          <w:numId w:val="36"/>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Reduce child behavioural problems, including aggression, in children and teenagers;</w:t>
      </w:r>
    </w:p>
    <w:p w14:paraId="1CE947E7" w14:textId="77777777" w:rsidR="00AB44E4" w:rsidRPr="00907B3C" w:rsidRDefault="00AB44E4" w:rsidP="008A7E29">
      <w:pPr>
        <w:widowControl w:val="0"/>
        <w:numPr>
          <w:ilvl w:val="0"/>
          <w:numId w:val="36"/>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Reduce harsh parenting, and improve positive parenting and parent-child relationships;</w:t>
      </w:r>
    </w:p>
    <w:p w14:paraId="3C782DC8" w14:textId="77777777" w:rsidR="00AB44E4" w:rsidRPr="00907B3C" w:rsidRDefault="00AB44E4" w:rsidP="008A7E29">
      <w:pPr>
        <w:widowControl w:val="0"/>
        <w:numPr>
          <w:ilvl w:val="0"/>
          <w:numId w:val="36"/>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Are particularly effective for children (aged 3-10) who show moderate or severe levels of behavioural problems and aggression; evidence is less clear for universal populations (Malti et al., 2011)</w:t>
      </w:r>
    </w:p>
    <w:p w14:paraId="6981195C" w14:textId="77777777" w:rsidR="00AB44E4" w:rsidRPr="00907B3C" w:rsidRDefault="00AB44E4" w:rsidP="008A7E29">
      <w:pPr>
        <w:widowControl w:val="0"/>
        <w:numPr>
          <w:ilvl w:val="0"/>
          <w:numId w:val="36"/>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Appear to be effective in disadvantaged groups, including lone parents, parents from ethnic minorities, those living in poverty, or with mental health problems. Some studies of moderator effects suggest effects can be as strong or sometime stronger in more disadvantaged subgroups (Gardner et al, 2009; 2010).</w:t>
      </w:r>
    </w:p>
    <w:p w14:paraId="18B6D81C"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p>
    <w:p w14:paraId="398D5D0D"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Parenting interventions have been tested in many countries in North America, Europe and Australasia. There have also been some trials in Asian high-income countries. In LMIC, the evidence base is weaker, but nevertheless a recent systematic review (Knerr, Gardner &amp; Cluver, 2013) found a dozen randomised trials, mostly in middle-income countries, in several continents, with promising results. </w:t>
      </w:r>
    </w:p>
    <w:p w14:paraId="7F377C02"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0E9D5316"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r w:rsidRPr="00907B3C">
        <w:rPr>
          <w:rFonts w:ascii="Didot" w:hAnsi="Didot" w:cs="Didot"/>
          <w:b/>
          <w:color w:val="121212"/>
          <w:sz w:val="22"/>
          <w:szCs w:val="22"/>
          <w:lang w:val="en-GB"/>
        </w:rPr>
        <w:t>If there have been so many successful trials, then why not just roll parenting interventions everywhere: what are the challenges?</w:t>
      </w:r>
    </w:p>
    <w:p w14:paraId="44893E4C"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r w:rsidRPr="00907B3C">
        <w:rPr>
          <w:rFonts w:ascii="Didot" w:hAnsi="Didot" w:cs="Didot"/>
          <w:b/>
          <w:i/>
          <w:color w:val="121212"/>
          <w:sz w:val="22"/>
          <w:szCs w:val="22"/>
          <w:lang w:val="en-GB"/>
        </w:rPr>
        <w:t xml:space="preserve">Transportability across contexts and countries </w:t>
      </w:r>
    </w:p>
    <w:p w14:paraId="6027B22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If we have strong evidence for the effectiveness of parenting interventions in (say) 25 countries, in 4 continents (Gardner et al 2014b; Knerr et al, 2013), then will these programs work in the other 171? How can we predict what will work in a new context? If unsure, is it better to grow our own programs, or to import evidence-based ones from other countries?  How much adaptation is needed, and how much does this affect engagement and outcome?  How to avoid the trap where greater levels of adaptation (or, just being home-grown) may lead to higher rates of political and local acceptability, and higher client engagement, but lower levels of effectiveness? (</w:t>
      </w:r>
      <w:proofErr w:type="gramStart"/>
      <w:r w:rsidRPr="00907B3C">
        <w:rPr>
          <w:rFonts w:ascii="Didot" w:hAnsi="Didot" w:cs="Didot"/>
          <w:color w:val="121212"/>
          <w:sz w:val="22"/>
          <w:szCs w:val="22"/>
          <w:lang w:val="en-GB"/>
        </w:rPr>
        <w:t>e</w:t>
      </w:r>
      <w:proofErr w:type="gramEnd"/>
      <w:r w:rsidRPr="00907B3C">
        <w:rPr>
          <w:rFonts w:ascii="Didot" w:hAnsi="Didot" w:cs="Didot"/>
          <w:color w:val="121212"/>
          <w:sz w:val="22"/>
          <w:szCs w:val="22"/>
          <w:lang w:val="en-GB"/>
        </w:rPr>
        <w:t>.g. Gottfredson et al., 2006)</w:t>
      </w:r>
    </w:p>
    <w:p w14:paraId="6DE9E252"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p>
    <w:p w14:paraId="409C5C6D"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r w:rsidRPr="00907B3C">
        <w:rPr>
          <w:rFonts w:ascii="Didot" w:hAnsi="Didot" w:cs="Didot"/>
          <w:b/>
          <w:i/>
          <w:color w:val="121212"/>
          <w:sz w:val="22"/>
          <w:szCs w:val="22"/>
          <w:lang w:val="en-GB"/>
        </w:rPr>
        <w:lastRenderedPageBreak/>
        <w:t xml:space="preserve">Capacity and sustainability </w:t>
      </w:r>
    </w:p>
    <w:p w14:paraId="49928628"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How to have adequate capacity, drive and resources to train, supervise, implement, and sustain interventions, with fidelity? This means reaching an appropriate proportion of the relevant population, at sufficiently low cost for a given country.  What does this mean in very resource-poor contexts? What service systems are best suited to engaging families, implementing and championing this work?</w:t>
      </w:r>
    </w:p>
    <w:p w14:paraId="15318E17"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p>
    <w:p w14:paraId="2924CEDD"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r w:rsidRPr="00907B3C">
        <w:rPr>
          <w:rFonts w:ascii="Didot" w:hAnsi="Didot" w:cs="Didot"/>
          <w:b/>
          <w:i/>
          <w:color w:val="121212"/>
          <w:sz w:val="22"/>
          <w:szCs w:val="22"/>
          <w:lang w:val="en-GB"/>
        </w:rPr>
        <w:t>Can we make programmes more efficient and effective?</w:t>
      </w:r>
    </w:p>
    <w:p w14:paraId="0420CB35"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Can we make parenting interventions briefer, cheaper and easier to deliver, and still have strong effects? Does this require better understanding of which are the essential components?  Or does it need different delivery mechanisms?  There are promising data on interventions based on new media, such as web-based programmes, podcasts, reality TV (Calam et al, 2008). There are also models of face-to-face intervention that are briefer and cheaper to deliver, and require a lower level of therapist skill, including seminar series, and brief discussion groups. There have been some promising randomised trials of these low-cost face-to-face approaches in LMIC, including Indonesia and Panama (Mejia et al., 2014) many using versions of Triple P interventions. One such approach is to personalise interventions, by making them more assessment-driven, allowing tailoring to the needs and goals of each family, as in Dishion’s (2008) brief Family Check-Up intervention.  </w:t>
      </w:r>
    </w:p>
    <w:p w14:paraId="79205856"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68E9E243"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r w:rsidRPr="00907B3C">
        <w:rPr>
          <w:rFonts w:ascii="Didot" w:hAnsi="Didot" w:cs="Didot"/>
          <w:b/>
          <w:i/>
          <w:color w:val="121212"/>
          <w:sz w:val="22"/>
          <w:szCs w:val="22"/>
          <w:lang w:val="en-GB"/>
        </w:rPr>
        <w:t xml:space="preserve">For whom do they work and not work? </w:t>
      </w:r>
    </w:p>
    <w:p w14:paraId="6F9A0A77"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Even when programmes are delivered with fidelity, they don’t help everyone. Can we identify subgroups </w:t>
      </w:r>
      <w:proofErr w:type="gramStart"/>
      <w:r w:rsidRPr="00907B3C">
        <w:rPr>
          <w:rFonts w:ascii="Didot" w:hAnsi="Didot" w:cs="Didot"/>
          <w:color w:val="121212"/>
          <w:sz w:val="22"/>
          <w:szCs w:val="22"/>
          <w:lang w:val="en-GB"/>
        </w:rPr>
        <w:t>who</w:t>
      </w:r>
      <w:proofErr w:type="gramEnd"/>
      <w:r w:rsidRPr="00907B3C">
        <w:rPr>
          <w:rFonts w:ascii="Didot" w:hAnsi="Didot" w:cs="Didot"/>
          <w:color w:val="121212"/>
          <w:sz w:val="22"/>
          <w:szCs w:val="22"/>
          <w:lang w:val="en-GB"/>
        </w:rPr>
        <w:t xml:space="preserve"> need additional or alternative approaches?  Improved methodologies are needed for identifying intervention moderators, including data pooling studies, which aggregate individual participant level data across multiple trials, to overcome the low power of single trials (e.g. Brown et al, 2013). What would these alternative intervention strategies need to be?  Do we need greater ‘personalisation’ of programmes, following the trend towards using genetic data in medicine to better tailor interventions to individuals, or do we need just better programs?  </w:t>
      </w:r>
    </w:p>
    <w:p w14:paraId="0390672D"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p>
    <w:p w14:paraId="55D2EB35"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r w:rsidRPr="00907B3C">
        <w:rPr>
          <w:rFonts w:ascii="Didot" w:hAnsi="Didot" w:cs="Didot"/>
          <w:b/>
          <w:i/>
          <w:color w:val="121212"/>
          <w:sz w:val="22"/>
          <w:szCs w:val="22"/>
          <w:lang w:val="en-GB"/>
        </w:rPr>
        <w:t>Long-term effects?</w:t>
      </w:r>
    </w:p>
    <w:p w14:paraId="1796437F"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For many programmes, long-term effects are unknown, with follow-ups often lasting only one year. Others follow-up for many years, but without having retained the randomised comparison group, generally because the control group were offered intervention later, as part of a waiting list design. Would we really expect the effects of interventions to last for many years?  Or do we need a </w:t>
      </w:r>
      <w:proofErr w:type="gramStart"/>
      <w:r w:rsidRPr="00907B3C">
        <w:rPr>
          <w:rFonts w:ascii="Didot" w:hAnsi="Didot" w:cs="Didot"/>
          <w:color w:val="121212"/>
          <w:sz w:val="22"/>
          <w:szCs w:val="22"/>
          <w:lang w:val="en-GB"/>
        </w:rPr>
        <w:t>model which</w:t>
      </w:r>
      <w:proofErr w:type="gramEnd"/>
      <w:r w:rsidRPr="00907B3C">
        <w:rPr>
          <w:rFonts w:ascii="Didot" w:hAnsi="Didot" w:cs="Didot"/>
          <w:color w:val="121212"/>
          <w:sz w:val="22"/>
          <w:szCs w:val="22"/>
          <w:lang w:val="en-GB"/>
        </w:rPr>
        <w:t xml:space="preserve"> incorporates continuing booster sessions, but with less intensive delivery mechanisms, such as Dishion’s (2008) Family Check Up model? </w:t>
      </w:r>
    </w:p>
    <w:p w14:paraId="7AA8208C"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1EF58AA8"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r w:rsidRPr="00907B3C">
        <w:rPr>
          <w:rFonts w:ascii="Didot" w:hAnsi="Didot" w:cs="Didot"/>
          <w:b/>
          <w:i/>
          <w:color w:val="121212"/>
          <w:sz w:val="22"/>
          <w:szCs w:val="22"/>
          <w:lang w:val="en-GB"/>
        </w:rPr>
        <w:lastRenderedPageBreak/>
        <w:t>Methodological problems may mean some of the effects have been overplayed</w:t>
      </w:r>
    </w:p>
    <w:p w14:paraId="4CD502CE"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Conflicts of interest (Eisner 2009), poor reporting standards, underpowered trials, and cherry picking are rife in many fields; however, there are many outstanding strategies to solve these problems, including development of better trial conduct and reporting guidelines (Equator Network, http://www.equator-network.org; Gardner et al 2013; Gottfredson et al., 2014), preregistration of all evaluation studies, better systematic review and meta-analysis standards, pooling of individual-level data from multiple trials (Brown et al. 2012), and systems for open access to trial data (BMJ AllTrials, 2014). The challenge is how to encourage and exhort researchers in different disciplines to buy into these, when our vested interests lean quite naturally towards reporting the most interesting and positive results.</w:t>
      </w:r>
    </w:p>
    <w:p w14:paraId="22D98662"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0E052683" w14:textId="77777777" w:rsidR="00AB44E4" w:rsidRPr="00907B3C" w:rsidRDefault="00AB44E4" w:rsidP="008A7E29">
      <w:pPr>
        <w:widowControl w:val="0"/>
        <w:autoSpaceDE w:val="0"/>
        <w:autoSpaceDN w:val="0"/>
        <w:adjustRightInd w:val="0"/>
        <w:spacing w:after="200"/>
        <w:jc w:val="both"/>
        <w:rPr>
          <w:rFonts w:ascii="Didot" w:hAnsi="Didot" w:cs="Didot"/>
          <w:b/>
          <w:i/>
          <w:color w:val="121212"/>
          <w:sz w:val="22"/>
          <w:szCs w:val="22"/>
          <w:lang w:val="en-GB"/>
        </w:rPr>
      </w:pPr>
      <w:r w:rsidRPr="00907B3C">
        <w:rPr>
          <w:rFonts w:ascii="Didot" w:hAnsi="Didot" w:cs="Didot"/>
          <w:b/>
          <w:i/>
          <w:color w:val="121212"/>
          <w:sz w:val="22"/>
          <w:szCs w:val="22"/>
          <w:lang w:val="en-GB"/>
        </w:rPr>
        <w:t>Can a historical approach (à la Eisner, Pinker) help to develop the framework for violence prevention?</w:t>
      </w:r>
    </w:p>
    <w:p w14:paraId="76A318F2"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What do we know about how risk factors for youth antisocial behaviour have changed over time?  Can this work help us to understand why violent and antisocial behaviour has declined over the centuries?  More challengingly, a historical approach to risk factor change would also need to be able to explain the upward trend in violence during the second half of 20</w:t>
      </w:r>
      <w:r w:rsidRPr="00907B3C">
        <w:rPr>
          <w:rFonts w:ascii="Didot" w:hAnsi="Didot" w:cs="Didot"/>
          <w:color w:val="121212"/>
          <w:sz w:val="22"/>
          <w:szCs w:val="22"/>
          <w:vertAlign w:val="superscript"/>
          <w:lang w:val="en-GB"/>
        </w:rPr>
        <w:t>th</w:t>
      </w:r>
      <w:r w:rsidRPr="00907B3C">
        <w:rPr>
          <w:rFonts w:ascii="Didot" w:hAnsi="Didot" w:cs="Didot"/>
          <w:color w:val="121212"/>
          <w:sz w:val="22"/>
          <w:szCs w:val="22"/>
          <w:lang w:val="en-GB"/>
        </w:rPr>
        <w:t xml:space="preserve"> century, and its decline again in many countries since the 1990s.</w:t>
      </w:r>
    </w:p>
    <w:p w14:paraId="6A01064E"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445BCB0F"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Pinker argues that the big change over the centuries that accounts for the decline in violence, is a gradual civilising process, consisting of changing norms in ways that we deal with conflict and with relationships, and in our levels of self-control, supported by increasingly strong state institutions for preventing and resolving conflict in a more just and fair way.  We could see improved parenting skills are one part of this civilising process, whereby children are treated in a manner that is less violent, and parent-child conflict is resolved in a more open and democratic way, while still setting clear expectations and limits on child behaviour, including aggression.</w:t>
      </w:r>
    </w:p>
    <w:p w14:paraId="1089C76F"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10B49DA8"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Is there any evidence that there has been a civilising trend in parenting factors? Given that poor parenting (e.g., harsh, punitive, neglectful, lack of positive parenting) is a key risk factor for child antisocial behaviour, then we could ask, has this risk factor decreased during the time period when antisocial behaviour and offending decreased in young people?  Pinker (2011) reviews data on one aspect of parenting norms, showing there has been a decline over the last 6 decades in approval of harsh punishment of children. These changes have taken place in high-income countries such as Sweden, where there are strong laws against hitting children, as well as in other countries (e.g. USA; Finkelhor et al, 2010). </w:t>
      </w:r>
    </w:p>
    <w:p w14:paraId="7C10EF9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30C3C76D"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We present data on change in several dimensions of parenting over time, from our work analysing UK representative datasets, and reviewing literature on parental </w:t>
      </w:r>
      <w:r w:rsidRPr="00907B3C">
        <w:rPr>
          <w:rFonts w:ascii="Didot" w:hAnsi="Didot" w:cs="Didot"/>
          <w:color w:val="121212"/>
          <w:sz w:val="22"/>
          <w:szCs w:val="22"/>
          <w:lang w:val="en-GB"/>
        </w:rPr>
        <w:lastRenderedPageBreak/>
        <w:t xml:space="preserve">time use from multiple countries (Gardner et al., 2013; Collishaw et al., 2011). Broadly speaking, this work suggests there have been improvements in many aspects of parenting over the last 25 years, supporting the idea of a civilising trend in the way that parents deal with children.  (Note: timing is not entirely tidy, some data suggest the improvement in parenting may have predated the fall in antisocial behaviour, and we lack good data pre-1980s).  </w:t>
      </w:r>
    </w:p>
    <w:p w14:paraId="61C65F29"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123D9B70"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The historical approach suggests it might be fruitful for us to think more broadly of ways to accelerate this ‘civilising process’, by further improving the norms around parenting and the ways that we treat children and young people. Parenting of course is only one part of this civilising process, and we cannot know where it might fit within multiple causal chains of historical and population influences, but it is notable in being one of the few ‘civilising’ areas where we have a large amount of causal intervention evidence about how to make change.</w:t>
      </w:r>
    </w:p>
    <w:p w14:paraId="6080CE9C"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488315FB"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Some universal parenting programs have just this intention, to change norms across a population, as well as offering specific programmes to targeted populations, using individual-level interventions. Some of the best ideas for combining these approaches have been well articulated by Sanders’ (2002) Triple P parenting programme.  We really need to know whether universal programs that intend to change parenting norms (a civilising culture shift?), and to bring useable new parenting strategies to large parts of the population, actually work or not.  The evidence is much less clear for universal approaches, as opposed to those that target children showing high levels of behavioural problems. Such intervention systems now need implementing and testing by independent evaluators, perhaps using Triple P </w:t>
      </w:r>
      <w:proofErr w:type="gramStart"/>
      <w:r w:rsidRPr="00907B3C">
        <w:rPr>
          <w:rFonts w:ascii="Didot" w:hAnsi="Didot" w:cs="Didot"/>
          <w:color w:val="121212"/>
          <w:sz w:val="22"/>
          <w:szCs w:val="22"/>
          <w:lang w:val="en-GB"/>
        </w:rPr>
        <w:t>-  or</w:t>
      </w:r>
      <w:proofErr w:type="gramEnd"/>
      <w:r w:rsidRPr="00907B3C">
        <w:rPr>
          <w:rFonts w:ascii="Didot" w:hAnsi="Didot" w:cs="Didot"/>
          <w:color w:val="121212"/>
          <w:sz w:val="22"/>
          <w:szCs w:val="22"/>
          <w:lang w:val="en-GB"/>
        </w:rPr>
        <w:t xml:space="preserve"> other generic social learning theory-based parenting programs, as the ideas and methods are not unique to Triple P. These community-level interventions might be combined with further legal measures (these would also need evaluation) proscribing chastisement of children, but in a context where parents are simultaneously offered alternative strategies for socialising children and dealing with misbehaviour. </w:t>
      </w:r>
    </w:p>
    <w:p w14:paraId="67EF19D2"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5ABE6CBF" w14:textId="77777777" w:rsidR="00AB44E4" w:rsidRPr="00907B3C" w:rsidRDefault="00AB44E4" w:rsidP="008A7E29">
      <w:pPr>
        <w:widowControl w:val="0"/>
        <w:autoSpaceDE w:val="0"/>
        <w:autoSpaceDN w:val="0"/>
        <w:adjustRightInd w:val="0"/>
        <w:spacing w:after="200"/>
        <w:jc w:val="both"/>
        <w:rPr>
          <w:rFonts w:ascii="Didot" w:hAnsi="Didot" w:cs="Didot"/>
          <w:i/>
          <w:color w:val="121212"/>
          <w:sz w:val="22"/>
          <w:szCs w:val="22"/>
          <w:lang w:val="en-GB"/>
        </w:rPr>
      </w:pPr>
      <w:r w:rsidRPr="00907B3C">
        <w:rPr>
          <w:rFonts w:ascii="Didot" w:hAnsi="Didot" w:cs="Didot"/>
          <w:color w:val="121212"/>
          <w:sz w:val="22"/>
          <w:szCs w:val="22"/>
          <w:lang w:val="en-GB"/>
        </w:rPr>
        <w:t xml:space="preserve">As these parenting programmes were developed in a few high-income countries, is there a danger of simply imposing Western child-centred values on families and cultures that may not want them?  I would argue that evidence suggests otherwise. Evidence from randomised trials involving ‘importation’ of US and Australian parenting interventions suggests these strategies and programmes are highly acceptable and wanted by parents in new countries, including those with very different cultural value systems (Gardner et al, 2014b; Lachman et al, 2014; Mejia et al, 2014). Secondly a large UNICEF (2010) survey found that many women, in multiple LMICs, reported using high levels of physical punishment, but at the same time showed high social disapproval of these methods, indicating a readiness for change. </w:t>
      </w:r>
    </w:p>
    <w:p w14:paraId="565EC4F6"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0CB6E896"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lastRenderedPageBreak/>
        <w:t>So is a more fundamental culture shift needed in the way that we think about and behave towards, and parent children?  How is this best achieved?  Would this be a key way to enhance the quality of parenting, and also to potentiate the effects of systems for those wanting more intensive programs?</w:t>
      </w:r>
    </w:p>
    <w:p w14:paraId="6005867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4F03E050"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r w:rsidRPr="00907B3C">
        <w:rPr>
          <w:rFonts w:ascii="Didot" w:hAnsi="Didot" w:cs="Didot"/>
          <w:b/>
          <w:color w:val="121212"/>
          <w:sz w:val="22"/>
          <w:szCs w:val="22"/>
          <w:lang w:val="en-GB"/>
        </w:rPr>
        <w:t xml:space="preserve">Conclusions: </w:t>
      </w:r>
    </w:p>
    <w:p w14:paraId="62C14489"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r w:rsidRPr="00907B3C">
        <w:rPr>
          <w:rFonts w:ascii="Didot" w:hAnsi="Didot" w:cs="Didot"/>
          <w:i/>
          <w:color w:val="121212"/>
          <w:sz w:val="22"/>
          <w:szCs w:val="22"/>
          <w:lang w:val="en-GB"/>
        </w:rPr>
        <w:t xml:space="preserve">Main recommendations to funders and policymakers: </w:t>
      </w:r>
    </w:p>
    <w:p w14:paraId="2B6F360E" w14:textId="77777777" w:rsidR="00AB44E4" w:rsidRPr="00907B3C" w:rsidRDefault="00AB44E4" w:rsidP="008A7E29">
      <w:pPr>
        <w:widowControl w:val="0"/>
        <w:numPr>
          <w:ilvl w:val="0"/>
          <w:numId w:val="37"/>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Above all, lend your vital support to bolstering strong, transparent methodologies for testing effectiveness</w:t>
      </w:r>
      <w:proofErr w:type="gramStart"/>
      <w:r w:rsidRPr="00907B3C">
        <w:rPr>
          <w:rFonts w:ascii="Didot" w:hAnsi="Didot" w:cs="Didot"/>
          <w:color w:val="121212"/>
          <w:sz w:val="22"/>
          <w:szCs w:val="22"/>
          <w:lang w:val="en-US"/>
        </w:rPr>
        <w:t>-  only</w:t>
      </w:r>
      <w:proofErr w:type="gramEnd"/>
      <w:r w:rsidRPr="00907B3C">
        <w:rPr>
          <w:rFonts w:ascii="Didot" w:hAnsi="Didot" w:cs="Didot"/>
          <w:color w:val="121212"/>
          <w:sz w:val="22"/>
          <w:szCs w:val="22"/>
          <w:lang w:val="en-US"/>
        </w:rPr>
        <w:t xml:space="preserve"> this way can we be sure the evidence is reliable. You can do this by funding good evaluations, funding implementations that are supported by good evidence, supporting efforts to improve methodologies, and supporting the difficult job of revising or stopping existing programmes, if the evidence suggests they are not effective. Children in resource poor settings deserve at least as high a standard of evidence as children in rich countries</w:t>
      </w:r>
    </w:p>
    <w:p w14:paraId="64797B58"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p>
    <w:p w14:paraId="237DCB04" w14:textId="77777777" w:rsidR="00AB44E4" w:rsidRPr="00907B3C" w:rsidRDefault="00AB44E4" w:rsidP="008A7E29">
      <w:pPr>
        <w:widowControl w:val="0"/>
        <w:numPr>
          <w:ilvl w:val="0"/>
          <w:numId w:val="37"/>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 xml:space="preserve">History may suggest that norm changes are key, but intervention evidence suggests its behavior change that is needed.  How can we best combine the two? -  </w:t>
      </w:r>
      <w:proofErr w:type="gramStart"/>
      <w:r w:rsidRPr="00907B3C">
        <w:rPr>
          <w:rFonts w:ascii="Didot" w:hAnsi="Didot" w:cs="Didot"/>
          <w:color w:val="121212"/>
          <w:sz w:val="22"/>
          <w:szCs w:val="22"/>
          <w:lang w:val="en-US"/>
        </w:rPr>
        <w:t>not</w:t>
      </w:r>
      <w:proofErr w:type="gramEnd"/>
      <w:r w:rsidRPr="00907B3C">
        <w:rPr>
          <w:rFonts w:ascii="Didot" w:hAnsi="Didot" w:cs="Didot"/>
          <w:color w:val="121212"/>
          <w:sz w:val="22"/>
          <w:szCs w:val="22"/>
          <w:lang w:val="en-US"/>
        </w:rPr>
        <w:t xml:space="preserve"> forgetting to test for what are the most vital ingredients.  Universal and community-level parenting interventions aimed at behavior change may be a promising way forward, but they need much fuller testing.  We know even less about how to enhance norm change, but community-level approaches, if </w:t>
      </w:r>
      <w:proofErr w:type="gramStart"/>
      <w:r w:rsidRPr="00907B3C">
        <w:rPr>
          <w:rFonts w:ascii="Didot" w:hAnsi="Didot" w:cs="Didot"/>
          <w:color w:val="121212"/>
          <w:sz w:val="22"/>
          <w:szCs w:val="22"/>
          <w:lang w:val="en-US"/>
        </w:rPr>
        <w:t>well-evaluated</w:t>
      </w:r>
      <w:proofErr w:type="gramEnd"/>
      <w:r w:rsidRPr="00907B3C">
        <w:rPr>
          <w:rFonts w:ascii="Didot" w:hAnsi="Didot" w:cs="Didot"/>
          <w:color w:val="121212"/>
          <w:sz w:val="22"/>
          <w:szCs w:val="22"/>
          <w:lang w:val="en-US"/>
        </w:rPr>
        <w:t>, may prove able to tackle both, hand in hand.</w:t>
      </w:r>
    </w:p>
    <w:p w14:paraId="2BE22F72"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p>
    <w:p w14:paraId="1F42FDD6" w14:textId="77777777" w:rsidR="00AB44E4" w:rsidRPr="00907B3C" w:rsidRDefault="00AB44E4" w:rsidP="008A7E29">
      <w:pPr>
        <w:widowControl w:val="0"/>
        <w:numPr>
          <w:ilvl w:val="0"/>
          <w:numId w:val="37"/>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 xml:space="preserve">We also need to find better ways to make these interventions scaleable, sustainable and affordable for all countries.  Key would be finding the systems and organisations that would make the most suitable champions and sustainers of such initiatives. How would WHO recommendations be translated into action on the ground? Would national action </w:t>
      </w:r>
      <w:proofErr w:type="gramStart"/>
      <w:r w:rsidRPr="00907B3C">
        <w:rPr>
          <w:rFonts w:ascii="Didot" w:hAnsi="Didot" w:cs="Didot"/>
          <w:color w:val="121212"/>
          <w:sz w:val="22"/>
          <w:szCs w:val="22"/>
          <w:lang w:val="en-US"/>
        </w:rPr>
        <w:t>plans</w:t>
      </w:r>
      <w:proofErr w:type="gramEnd"/>
      <w:r w:rsidRPr="00907B3C">
        <w:rPr>
          <w:rFonts w:ascii="Didot" w:hAnsi="Didot" w:cs="Didot"/>
          <w:color w:val="121212"/>
          <w:sz w:val="22"/>
          <w:szCs w:val="22"/>
          <w:lang w:val="en-US"/>
        </w:rPr>
        <w:t xml:space="preserve"> help? </w:t>
      </w:r>
    </w:p>
    <w:p w14:paraId="6810B0EA"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p>
    <w:p w14:paraId="635FE75C" w14:textId="77777777" w:rsidR="00AB44E4" w:rsidRPr="00907B3C" w:rsidRDefault="00AB44E4" w:rsidP="008A7E29">
      <w:pPr>
        <w:widowControl w:val="0"/>
        <w:numPr>
          <w:ilvl w:val="0"/>
          <w:numId w:val="37"/>
        </w:numP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Don’t worry that programmes need necessarily to be ‘home grown’ in order to work - in the hands of staff with local cultural competence, imported intervention strategies appear to be surprisingly widely applicable.</w:t>
      </w:r>
    </w:p>
    <w:p w14:paraId="713B92E7"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p>
    <w:p w14:paraId="157FA9FF"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
    <w:p w14:paraId="452FC77B"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p>
    <w:p w14:paraId="55049146"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p>
    <w:p w14:paraId="2B46113C" w14:textId="77777777" w:rsidR="00AB44E4" w:rsidRPr="00907B3C" w:rsidRDefault="00AB44E4" w:rsidP="008A7E29">
      <w:pPr>
        <w:widowControl w:val="0"/>
        <w:autoSpaceDE w:val="0"/>
        <w:autoSpaceDN w:val="0"/>
        <w:adjustRightInd w:val="0"/>
        <w:spacing w:after="200"/>
        <w:jc w:val="both"/>
        <w:rPr>
          <w:rFonts w:ascii="Didot" w:hAnsi="Didot" w:cs="Didot"/>
          <w:b/>
          <w:color w:val="121212"/>
          <w:sz w:val="22"/>
          <w:szCs w:val="22"/>
          <w:lang w:val="en-GB"/>
        </w:rPr>
      </w:pPr>
    </w:p>
    <w:p w14:paraId="3A0FE65E"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lastRenderedPageBreak/>
        <w:t>References:</w:t>
      </w:r>
    </w:p>
    <w:p w14:paraId="0F05672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Barlow, J., Johnston, I., Kendrick, D., Polnay, L., &amp; Stewart-Brown, S. (2006). Individual and group-based parenting programmes for the treatment of physical child abuse and neglect. </w:t>
      </w:r>
      <w:r w:rsidRPr="00907B3C">
        <w:rPr>
          <w:rFonts w:ascii="Didot" w:hAnsi="Didot" w:cs="Didot"/>
          <w:i/>
          <w:color w:val="121212"/>
          <w:sz w:val="22"/>
          <w:szCs w:val="22"/>
          <w:lang w:val="en-GB"/>
        </w:rPr>
        <w:t xml:space="preserve">Cochrane Database of Systematic Reviews, 3 </w:t>
      </w:r>
      <w:r w:rsidRPr="00907B3C">
        <w:rPr>
          <w:rFonts w:ascii="Didot" w:hAnsi="Didot" w:cs="Didot"/>
          <w:color w:val="121212"/>
          <w:sz w:val="22"/>
          <w:szCs w:val="22"/>
          <w:lang w:val="en-GB"/>
        </w:rPr>
        <w:t>(Art. No.: CD005463), 1-20.</w:t>
      </w:r>
    </w:p>
    <w:p w14:paraId="5D526C06"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Brown CH, Sloboda Z, Faggiano F, Teasdale B, Keller F, Burkhart G et al. (2011).</w:t>
      </w:r>
      <w:proofErr w:type="gramEnd"/>
      <w:r w:rsidRPr="00907B3C">
        <w:rPr>
          <w:rFonts w:ascii="Didot" w:hAnsi="Didot" w:cs="Didot"/>
          <w:color w:val="121212"/>
          <w:sz w:val="22"/>
          <w:szCs w:val="22"/>
          <w:lang w:val="en-GB"/>
        </w:rPr>
        <w:t xml:space="preserve"> </w:t>
      </w:r>
      <w:proofErr w:type="gramStart"/>
      <w:r w:rsidRPr="00907B3C">
        <w:rPr>
          <w:rFonts w:ascii="Didot" w:hAnsi="Didot" w:cs="Didot"/>
          <w:color w:val="121212"/>
          <w:sz w:val="22"/>
          <w:szCs w:val="22"/>
          <w:lang w:val="en-GB"/>
        </w:rPr>
        <w:t>Methods for synthesizing findings on moderation effects across multiple randomized trials.</w:t>
      </w:r>
      <w:proofErr w:type="gramEnd"/>
      <w:r w:rsidRPr="00907B3C">
        <w:rPr>
          <w:rFonts w:ascii="Didot" w:hAnsi="Didot" w:cs="Didot"/>
          <w:color w:val="121212"/>
          <w:sz w:val="22"/>
          <w:szCs w:val="22"/>
          <w:lang w:val="en-GB"/>
        </w:rPr>
        <w:t xml:space="preserve"> </w:t>
      </w:r>
      <w:r w:rsidRPr="00907B3C">
        <w:rPr>
          <w:rFonts w:ascii="Didot" w:hAnsi="Didot" w:cs="Didot"/>
          <w:i/>
          <w:color w:val="121212"/>
          <w:sz w:val="22"/>
          <w:szCs w:val="22"/>
          <w:lang w:val="en-GB"/>
        </w:rPr>
        <w:t>Prevention Science</w:t>
      </w:r>
      <w:r w:rsidRPr="00907B3C">
        <w:rPr>
          <w:rFonts w:ascii="Didot" w:hAnsi="Didot" w:cs="Didot"/>
          <w:color w:val="121212"/>
          <w:sz w:val="22"/>
          <w:szCs w:val="22"/>
          <w:lang w:val="en-GB"/>
        </w:rPr>
        <w:t xml:space="preserve">, published online DOI 10.1007/s11121-011-0207-8. </w:t>
      </w:r>
      <w:bookmarkStart w:id="85" w:name="_ENREF_17"/>
    </w:p>
    <w:p w14:paraId="3E0718DE"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Calam, R., Sanders, M., Miller, C., Sadhnani, V. &amp; Carmont, S (2008).</w:t>
      </w:r>
      <w:proofErr w:type="gramEnd"/>
      <w:r w:rsidRPr="00907B3C">
        <w:rPr>
          <w:rFonts w:ascii="Didot" w:hAnsi="Didot" w:cs="Didot"/>
          <w:color w:val="121212"/>
          <w:sz w:val="22"/>
          <w:szCs w:val="22"/>
          <w:lang w:val="en-GB"/>
        </w:rPr>
        <w:t xml:space="preserve"> Can technology and the media help reduce dysfunctional parenting and increase engagement with preventative parenting interventions? </w:t>
      </w:r>
      <w:r w:rsidRPr="00907B3C">
        <w:rPr>
          <w:rFonts w:ascii="Didot" w:hAnsi="Didot" w:cs="Didot"/>
          <w:i/>
          <w:iCs/>
          <w:color w:val="121212"/>
          <w:sz w:val="22"/>
          <w:szCs w:val="22"/>
          <w:lang w:val="en-GB"/>
        </w:rPr>
        <w:t>Child maltreatment</w:t>
      </w:r>
      <w:r w:rsidRPr="00907B3C">
        <w:rPr>
          <w:rFonts w:ascii="Didot" w:hAnsi="Didot" w:cs="Didot"/>
          <w:color w:val="121212"/>
          <w:sz w:val="22"/>
          <w:szCs w:val="22"/>
          <w:lang w:val="en-GB"/>
        </w:rPr>
        <w:t>, 13(4), 347. </w:t>
      </w:r>
    </w:p>
    <w:p w14:paraId="3151CBB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Collishaw, S., Gardner, F., Maughan, B</w:t>
      </w:r>
      <w:proofErr w:type="gramStart"/>
      <w:r w:rsidRPr="00907B3C">
        <w:rPr>
          <w:rFonts w:ascii="Didot" w:hAnsi="Didot" w:cs="Didot"/>
          <w:color w:val="121212"/>
          <w:sz w:val="22"/>
          <w:szCs w:val="22"/>
          <w:lang w:val="en-GB"/>
        </w:rPr>
        <w:t>,  Scott</w:t>
      </w:r>
      <w:proofErr w:type="gramEnd"/>
      <w:r w:rsidRPr="00907B3C">
        <w:rPr>
          <w:rFonts w:ascii="Didot" w:hAnsi="Didot" w:cs="Didot"/>
          <w:color w:val="121212"/>
          <w:sz w:val="22"/>
          <w:szCs w:val="22"/>
          <w:lang w:val="en-GB"/>
        </w:rPr>
        <w:t xml:space="preserve">, J &amp; Pickles, A. (2011). Historical change in parenting of adolescents: Can it explain the rise in youth problem behavior?  </w:t>
      </w:r>
      <w:r w:rsidRPr="00907B3C">
        <w:rPr>
          <w:rFonts w:ascii="Didot" w:hAnsi="Didot" w:cs="Didot"/>
          <w:color w:val="121212"/>
          <w:sz w:val="22"/>
          <w:szCs w:val="22"/>
          <w:u w:val="single"/>
          <w:lang w:val="en-GB"/>
        </w:rPr>
        <w:t>Journal of Abnormal Child Psychology</w:t>
      </w:r>
      <w:r w:rsidRPr="00907B3C">
        <w:rPr>
          <w:rFonts w:ascii="Didot" w:hAnsi="Didot" w:cs="Didot"/>
          <w:i/>
          <w:color w:val="121212"/>
          <w:sz w:val="22"/>
          <w:szCs w:val="22"/>
          <w:lang w:val="en-GB"/>
        </w:rPr>
        <w:t xml:space="preserve">, </w:t>
      </w:r>
      <w:r w:rsidRPr="00907B3C">
        <w:rPr>
          <w:rFonts w:ascii="Didot" w:hAnsi="Didot" w:cs="Didot"/>
          <w:color w:val="121212"/>
          <w:sz w:val="22"/>
          <w:szCs w:val="22"/>
          <w:lang w:val="en-GB"/>
        </w:rPr>
        <w:t>40, 119-132</w:t>
      </w:r>
    </w:p>
    <w:p w14:paraId="2A005DB5"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Dishion, T. J., Shaw, D. S., Connell, A., Gardner, F., &amp; Weaver, C. Wilson, M., (2008).</w:t>
      </w:r>
      <w:proofErr w:type="gramEnd"/>
      <w:r w:rsidRPr="00907B3C">
        <w:rPr>
          <w:rFonts w:ascii="Didot" w:hAnsi="Didot" w:cs="Didot"/>
          <w:color w:val="121212"/>
          <w:sz w:val="22"/>
          <w:szCs w:val="22"/>
          <w:lang w:val="en-GB"/>
        </w:rPr>
        <w:t xml:space="preserve"> The Family Check-Up with high-risk indigent families: preventing problem behavior by increasing parents’ positive behavior support in early childhood.  </w:t>
      </w:r>
      <w:r w:rsidRPr="00907B3C">
        <w:rPr>
          <w:rFonts w:ascii="Didot" w:hAnsi="Didot" w:cs="Didot"/>
          <w:i/>
          <w:color w:val="121212"/>
          <w:sz w:val="22"/>
          <w:szCs w:val="22"/>
          <w:lang w:val="en-GB"/>
        </w:rPr>
        <w:t>Child Development, 79</w:t>
      </w:r>
      <w:r w:rsidRPr="00907B3C">
        <w:rPr>
          <w:rFonts w:ascii="Didot" w:hAnsi="Didot" w:cs="Didot"/>
          <w:color w:val="121212"/>
          <w:sz w:val="22"/>
          <w:szCs w:val="22"/>
          <w:lang w:val="en-GB"/>
        </w:rPr>
        <w:t>, 1395-1414</w:t>
      </w:r>
    </w:p>
    <w:p w14:paraId="6B17ADC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Eisner, M. (2009). No effects in independent prevention trials: can we reject the cynical view? </w:t>
      </w:r>
      <w:proofErr w:type="gramStart"/>
      <w:r w:rsidRPr="00907B3C">
        <w:rPr>
          <w:rFonts w:ascii="Didot" w:hAnsi="Didot" w:cs="Didot"/>
          <w:i/>
          <w:color w:val="121212"/>
          <w:sz w:val="22"/>
          <w:szCs w:val="22"/>
          <w:lang w:val="en-GB"/>
        </w:rPr>
        <w:t>Journal of Experimental Criminology, 5</w:t>
      </w:r>
      <w:r w:rsidRPr="00907B3C">
        <w:rPr>
          <w:rFonts w:ascii="Didot" w:hAnsi="Didot" w:cs="Didot"/>
          <w:color w:val="121212"/>
          <w:sz w:val="22"/>
          <w:szCs w:val="22"/>
          <w:lang w:val="en-GB"/>
        </w:rPr>
        <w:t>(2), 163-183.</w:t>
      </w:r>
      <w:bookmarkEnd w:id="85"/>
      <w:proofErr w:type="gramEnd"/>
    </w:p>
    <w:p w14:paraId="0671F6D9"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Finkelhor, D., Turner, H., Ormrod, R., &amp; Hamby, S. L. (2010). Trends in childhood violence and abuse exposure: evidence from 2 national surveys. </w:t>
      </w:r>
      <w:proofErr w:type="gramStart"/>
      <w:r w:rsidRPr="00907B3C">
        <w:rPr>
          <w:rFonts w:ascii="Didot" w:hAnsi="Didot" w:cs="Didot"/>
          <w:i/>
          <w:iCs/>
          <w:color w:val="121212"/>
          <w:sz w:val="22"/>
          <w:szCs w:val="22"/>
          <w:lang w:val="en-GB"/>
        </w:rPr>
        <w:t>Archives of Pediatrics &amp; Adolescent Medicine</w:t>
      </w:r>
      <w:r w:rsidRPr="00907B3C">
        <w:rPr>
          <w:rFonts w:ascii="Didot" w:hAnsi="Didot" w:cs="Didot"/>
          <w:color w:val="121212"/>
          <w:sz w:val="22"/>
          <w:szCs w:val="22"/>
          <w:lang w:val="en-GB"/>
        </w:rPr>
        <w:t>, </w:t>
      </w:r>
      <w:r w:rsidRPr="00907B3C">
        <w:rPr>
          <w:rFonts w:ascii="Didot" w:hAnsi="Didot" w:cs="Didot"/>
          <w:i/>
          <w:iCs/>
          <w:color w:val="121212"/>
          <w:sz w:val="22"/>
          <w:szCs w:val="22"/>
          <w:lang w:val="en-GB"/>
        </w:rPr>
        <w:t>164</w:t>
      </w:r>
      <w:r w:rsidRPr="00907B3C">
        <w:rPr>
          <w:rFonts w:ascii="Didot" w:hAnsi="Didot" w:cs="Didot"/>
          <w:color w:val="121212"/>
          <w:sz w:val="22"/>
          <w:szCs w:val="22"/>
          <w:lang w:val="en-GB"/>
        </w:rPr>
        <w:t>(3), 238-242.</w:t>
      </w:r>
      <w:proofErr w:type="gramEnd"/>
    </w:p>
    <w:p w14:paraId="5D17909D"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Furlong, M., McGilloway, S., Bywater, T., Hutchings, J., Smith, S., &amp; Donnelly, M. (2012). Behavioural and cognitive-behavioural group-based parenting programmes for early-onset conduct problems in children aged 3 to 12 years. </w:t>
      </w:r>
      <w:r w:rsidRPr="00907B3C">
        <w:rPr>
          <w:rFonts w:ascii="Didot" w:hAnsi="Didot" w:cs="Didot"/>
          <w:i/>
          <w:color w:val="121212"/>
          <w:sz w:val="22"/>
          <w:szCs w:val="22"/>
          <w:lang w:val="en-GB"/>
        </w:rPr>
        <w:t xml:space="preserve">Cochrane Database of Systematic Reviews, 2 </w:t>
      </w:r>
      <w:r w:rsidRPr="00907B3C">
        <w:rPr>
          <w:rFonts w:ascii="Didot" w:hAnsi="Didot" w:cs="Didot"/>
          <w:color w:val="121212"/>
          <w:sz w:val="22"/>
          <w:szCs w:val="22"/>
          <w:lang w:val="en-GB"/>
        </w:rPr>
        <w:t>(Art. No.: CD008225), 1-357.</w:t>
      </w:r>
    </w:p>
    <w:p w14:paraId="6C13B033"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Gardner, F., Waller, R., Cluver, L.</w:t>
      </w:r>
      <w:proofErr w:type="gramStart"/>
      <w:r w:rsidRPr="00907B3C">
        <w:rPr>
          <w:rFonts w:ascii="Didot" w:hAnsi="Didot" w:cs="Didot"/>
          <w:color w:val="121212"/>
          <w:sz w:val="22"/>
          <w:szCs w:val="22"/>
          <w:lang w:val="en-GB"/>
        </w:rPr>
        <w:t>,  Boyes</w:t>
      </w:r>
      <w:proofErr w:type="gramEnd"/>
      <w:r w:rsidRPr="00907B3C">
        <w:rPr>
          <w:rFonts w:ascii="Didot" w:hAnsi="Didot" w:cs="Didot"/>
          <w:color w:val="121212"/>
          <w:sz w:val="22"/>
          <w:szCs w:val="22"/>
          <w:lang w:val="en-GB"/>
        </w:rPr>
        <w:t xml:space="preserve">, M.,  &amp; Maughan, B (2014a).  What are the risk factors for antisocial behavior among low-income youth in Cape Town?  Revise &amp; resubmit, </w:t>
      </w:r>
      <w:r w:rsidRPr="00907B3C">
        <w:rPr>
          <w:rFonts w:ascii="Didot" w:hAnsi="Didot" w:cs="Didot"/>
          <w:i/>
          <w:color w:val="121212"/>
          <w:sz w:val="22"/>
          <w:szCs w:val="22"/>
          <w:lang w:val="en-GB"/>
        </w:rPr>
        <w:t>Social Development</w:t>
      </w:r>
      <w:r w:rsidRPr="00907B3C">
        <w:rPr>
          <w:rFonts w:ascii="Didot" w:hAnsi="Didot" w:cs="Didot"/>
          <w:color w:val="121212"/>
          <w:sz w:val="22"/>
          <w:szCs w:val="22"/>
          <w:lang w:val="en-GB"/>
        </w:rPr>
        <w:t>.</w:t>
      </w:r>
    </w:p>
    <w:p w14:paraId="4A5B7436"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Gardner, F., Knerr, W., Montgomery, P. (2014b).</w:t>
      </w:r>
      <w:proofErr w:type="gramEnd"/>
      <w:r w:rsidRPr="00907B3C">
        <w:rPr>
          <w:rFonts w:ascii="Didot" w:hAnsi="Didot" w:cs="Didot"/>
          <w:color w:val="121212"/>
          <w:sz w:val="22"/>
          <w:szCs w:val="22"/>
          <w:lang w:val="en-GB"/>
        </w:rPr>
        <w:t xml:space="preserve"> Transporting evidence-based parenting programs for child problem behavior (age 3-10) between countries: Systematic review and meta-analysis.  Invited to Special Issue, </w:t>
      </w:r>
      <w:r w:rsidRPr="00907B3C">
        <w:rPr>
          <w:rFonts w:ascii="Didot" w:hAnsi="Didot" w:cs="Didot"/>
          <w:i/>
          <w:color w:val="121212"/>
          <w:sz w:val="22"/>
          <w:szCs w:val="22"/>
          <w:lang w:val="en-GB"/>
        </w:rPr>
        <w:t>from Adoption to Adaptation, Journal of Clinical Child and Adolescent Psychology</w:t>
      </w:r>
      <w:r w:rsidRPr="00907B3C">
        <w:rPr>
          <w:rFonts w:ascii="Didot" w:hAnsi="Didot" w:cs="Didot"/>
          <w:color w:val="121212"/>
          <w:sz w:val="22"/>
          <w:szCs w:val="22"/>
          <w:lang w:val="en-GB"/>
        </w:rPr>
        <w:t xml:space="preserve">. </w:t>
      </w:r>
      <w:proofErr w:type="gramStart"/>
      <w:r w:rsidRPr="00907B3C">
        <w:rPr>
          <w:rFonts w:ascii="Didot" w:hAnsi="Didot" w:cs="Didot"/>
          <w:color w:val="121212"/>
          <w:sz w:val="22"/>
          <w:szCs w:val="22"/>
          <w:lang w:val="en-GB"/>
        </w:rPr>
        <w:t>Under review.</w:t>
      </w:r>
      <w:proofErr w:type="gramEnd"/>
    </w:p>
    <w:p w14:paraId="318613CF" w14:textId="77777777" w:rsidR="00AB44E4" w:rsidRPr="00907B3C" w:rsidRDefault="00AB44E4" w:rsidP="008A7E29">
      <w:pPr>
        <w:widowControl w:val="0"/>
        <w:autoSpaceDE w:val="0"/>
        <w:autoSpaceDN w:val="0"/>
        <w:adjustRightInd w:val="0"/>
        <w:spacing w:after="200"/>
        <w:jc w:val="both"/>
        <w:rPr>
          <w:rFonts w:ascii="Didot" w:hAnsi="Didot" w:cs="Didot"/>
          <w:iCs/>
          <w:color w:val="121212"/>
          <w:sz w:val="22"/>
          <w:szCs w:val="22"/>
          <w:lang w:val="en-GB"/>
        </w:rPr>
      </w:pPr>
      <w:r w:rsidRPr="00907B3C">
        <w:rPr>
          <w:rFonts w:ascii="Didot" w:hAnsi="Didot" w:cs="Didot"/>
          <w:color w:val="121212"/>
          <w:sz w:val="22"/>
          <w:szCs w:val="22"/>
          <w:lang w:val="en-GB"/>
        </w:rPr>
        <w:t xml:space="preserve">Gardner, F., Mayo-Wilson, E., Montgomery, P., Hopewell, S., Macdonald, G., Moher, D., Grant, S. (2013). Editorial Perspective: The need for new guidelines to improve the reporting of trials in child and adolescent mental health. </w:t>
      </w:r>
      <w:proofErr w:type="gramStart"/>
      <w:r w:rsidRPr="00907B3C">
        <w:rPr>
          <w:rFonts w:ascii="Didot" w:hAnsi="Didot" w:cs="Didot"/>
          <w:i/>
          <w:color w:val="121212"/>
          <w:sz w:val="22"/>
          <w:szCs w:val="22"/>
          <w:lang w:val="en-GB"/>
        </w:rPr>
        <w:t>Journal of Child Psychology &amp; Psychiatry,</w:t>
      </w:r>
      <w:r w:rsidRPr="00907B3C">
        <w:rPr>
          <w:rFonts w:ascii="Didot" w:hAnsi="Didot" w:cs="Didot"/>
          <w:color w:val="121212"/>
          <w:sz w:val="22"/>
          <w:szCs w:val="22"/>
          <w:lang w:val="en-GB"/>
        </w:rPr>
        <w:t xml:space="preserve"> 54: 810–812.</w:t>
      </w:r>
      <w:proofErr w:type="gramEnd"/>
      <w:r w:rsidRPr="00907B3C">
        <w:rPr>
          <w:rFonts w:ascii="Didot" w:hAnsi="Didot" w:cs="Didot"/>
          <w:color w:val="121212"/>
          <w:sz w:val="22"/>
          <w:szCs w:val="22"/>
          <w:lang w:val="en-GB"/>
        </w:rPr>
        <w:t xml:space="preserve">  </w:t>
      </w:r>
    </w:p>
    <w:p w14:paraId="7FB2BE04" w14:textId="77777777" w:rsidR="00AB44E4" w:rsidRPr="00907B3C" w:rsidRDefault="00AB44E4" w:rsidP="008A7E29">
      <w:pPr>
        <w:widowControl w:val="0"/>
        <w:autoSpaceDE w:val="0"/>
        <w:autoSpaceDN w:val="0"/>
        <w:adjustRightInd w:val="0"/>
        <w:spacing w:after="200"/>
        <w:jc w:val="both"/>
        <w:rPr>
          <w:rFonts w:ascii="Didot" w:hAnsi="Didot" w:cs="Didot"/>
          <w:iCs/>
          <w:color w:val="121212"/>
          <w:sz w:val="22"/>
          <w:szCs w:val="22"/>
          <w:lang w:val="en-GB"/>
        </w:rPr>
      </w:pPr>
      <w:proofErr w:type="gramStart"/>
      <w:r w:rsidRPr="00907B3C">
        <w:rPr>
          <w:rFonts w:ascii="Didot" w:hAnsi="Didot" w:cs="Didot"/>
          <w:color w:val="121212"/>
          <w:sz w:val="22"/>
          <w:szCs w:val="22"/>
          <w:lang w:val="en-GB"/>
        </w:rPr>
        <w:t>Gardner F, Hutchings J, Bywater, T, Whitaker, C. (2010).</w:t>
      </w:r>
      <w:proofErr w:type="gramEnd"/>
      <w:r w:rsidRPr="00907B3C">
        <w:rPr>
          <w:rFonts w:ascii="Didot" w:hAnsi="Didot" w:cs="Didot"/>
          <w:color w:val="121212"/>
          <w:sz w:val="22"/>
          <w:szCs w:val="22"/>
          <w:lang w:val="en-GB"/>
        </w:rPr>
        <w:t xml:space="preserve"> Who benefits and how </w:t>
      </w:r>
      <w:r w:rsidRPr="00907B3C">
        <w:rPr>
          <w:rFonts w:ascii="Didot" w:hAnsi="Didot" w:cs="Didot"/>
          <w:color w:val="121212"/>
          <w:sz w:val="22"/>
          <w:szCs w:val="22"/>
          <w:lang w:val="en-GB"/>
        </w:rPr>
        <w:lastRenderedPageBreak/>
        <w:t xml:space="preserve">does it work? Moderators and mediators of outcomes in a randomised trial of parenting interventions in multiple ‘Sure Start’ services. </w:t>
      </w:r>
      <w:proofErr w:type="gramStart"/>
      <w:r w:rsidRPr="00907B3C">
        <w:rPr>
          <w:rFonts w:ascii="Didot" w:hAnsi="Didot" w:cs="Didot"/>
          <w:i/>
          <w:color w:val="121212"/>
          <w:sz w:val="22"/>
          <w:szCs w:val="22"/>
          <w:lang w:val="en-GB"/>
        </w:rPr>
        <w:t>Journal of Clinical Child &amp; Adolescent Psychology</w:t>
      </w:r>
      <w:r w:rsidRPr="00907B3C">
        <w:rPr>
          <w:rFonts w:ascii="Didot" w:hAnsi="Didot" w:cs="Didot"/>
          <w:color w:val="121212"/>
          <w:sz w:val="22"/>
          <w:szCs w:val="22"/>
          <w:lang w:val="en-GB"/>
        </w:rPr>
        <w:t>,</w:t>
      </w:r>
      <w:r w:rsidRPr="00907B3C">
        <w:rPr>
          <w:rFonts w:ascii="Didot" w:hAnsi="Didot" w:cs="Didot"/>
          <w:i/>
          <w:iCs/>
          <w:color w:val="121212"/>
          <w:sz w:val="22"/>
          <w:szCs w:val="22"/>
          <w:lang w:val="en-GB"/>
        </w:rPr>
        <w:t xml:space="preserve"> 39, 568-80.</w:t>
      </w:r>
      <w:proofErr w:type="gramEnd"/>
    </w:p>
    <w:p w14:paraId="0730AD25" w14:textId="77777777" w:rsidR="00AB44E4" w:rsidRPr="00907B3C" w:rsidRDefault="00AB44E4" w:rsidP="008A7E29">
      <w:pPr>
        <w:widowControl w:val="0"/>
        <w:autoSpaceDE w:val="0"/>
        <w:autoSpaceDN w:val="0"/>
        <w:adjustRightInd w:val="0"/>
        <w:spacing w:after="200"/>
        <w:jc w:val="both"/>
        <w:rPr>
          <w:rFonts w:ascii="Didot" w:hAnsi="Didot" w:cs="Didot"/>
          <w:iCs/>
          <w:color w:val="121212"/>
          <w:sz w:val="22"/>
          <w:szCs w:val="22"/>
          <w:lang w:val="en-GB"/>
        </w:rPr>
      </w:pPr>
      <w:proofErr w:type="gramStart"/>
      <w:r w:rsidRPr="00907B3C">
        <w:rPr>
          <w:rFonts w:ascii="Didot" w:hAnsi="Didot" w:cs="Didot"/>
          <w:color w:val="121212"/>
          <w:sz w:val="22"/>
          <w:szCs w:val="22"/>
          <w:lang w:val="en-GB"/>
        </w:rPr>
        <w:t>Gardner, F., Connell, A., Trentacosta, C, Shaw, D.S., Dishion, T. J., Wilson, M.</w:t>
      </w:r>
      <w:proofErr w:type="gramEnd"/>
      <w:r w:rsidRPr="00907B3C">
        <w:rPr>
          <w:rFonts w:ascii="Didot" w:hAnsi="Didot" w:cs="Didot"/>
          <w:color w:val="121212"/>
          <w:sz w:val="22"/>
          <w:szCs w:val="22"/>
          <w:lang w:val="en-GB"/>
        </w:rPr>
        <w:t xml:space="preserve">  (2009)</w:t>
      </w:r>
      <w:proofErr w:type="gramStart"/>
      <w:r w:rsidRPr="00907B3C">
        <w:rPr>
          <w:rFonts w:ascii="Didot" w:hAnsi="Didot" w:cs="Didot"/>
          <w:color w:val="121212"/>
          <w:sz w:val="22"/>
          <w:szCs w:val="22"/>
          <w:lang w:val="en-GB"/>
        </w:rPr>
        <w:t>. Moderators of outcome in a brief family-centred intervention for preventing early problem behaviour.</w:t>
      </w:r>
      <w:proofErr w:type="gramEnd"/>
      <w:r w:rsidRPr="00907B3C">
        <w:rPr>
          <w:rFonts w:ascii="Didot" w:hAnsi="Didot" w:cs="Didot"/>
          <w:color w:val="121212"/>
          <w:sz w:val="22"/>
          <w:szCs w:val="22"/>
          <w:lang w:val="en-GB"/>
        </w:rPr>
        <w:t xml:space="preserve">  </w:t>
      </w:r>
      <w:proofErr w:type="gramStart"/>
      <w:r w:rsidRPr="00907B3C">
        <w:rPr>
          <w:rFonts w:ascii="Didot" w:hAnsi="Didot" w:cs="Didot"/>
          <w:i/>
          <w:iCs/>
          <w:color w:val="121212"/>
          <w:sz w:val="22"/>
          <w:szCs w:val="22"/>
          <w:lang w:val="en-GB"/>
        </w:rPr>
        <w:t>Journal of Consulting and Clinical Psychology, 77,</w:t>
      </w:r>
      <w:r w:rsidRPr="00907B3C">
        <w:rPr>
          <w:rFonts w:ascii="Didot" w:hAnsi="Didot" w:cs="Didot"/>
          <w:iCs/>
          <w:color w:val="121212"/>
          <w:sz w:val="22"/>
          <w:szCs w:val="22"/>
          <w:lang w:val="en-GB"/>
        </w:rPr>
        <w:t xml:space="preserve"> 543-553.</w:t>
      </w:r>
      <w:proofErr w:type="gramEnd"/>
      <w:r w:rsidRPr="00907B3C">
        <w:rPr>
          <w:rFonts w:ascii="Didot" w:hAnsi="Didot" w:cs="Didot"/>
          <w:iCs/>
          <w:color w:val="121212"/>
          <w:sz w:val="22"/>
          <w:szCs w:val="22"/>
          <w:lang w:val="en-GB"/>
        </w:rPr>
        <w:t xml:space="preserve"> </w:t>
      </w:r>
      <w:bookmarkStart w:id="86" w:name="_ENREF_24"/>
    </w:p>
    <w:p w14:paraId="716F2A7F" w14:textId="77777777" w:rsidR="00AB44E4" w:rsidRPr="00907B3C" w:rsidRDefault="00AB44E4" w:rsidP="008A7E29">
      <w:pPr>
        <w:widowControl w:val="0"/>
        <w:autoSpaceDE w:val="0"/>
        <w:autoSpaceDN w:val="0"/>
        <w:adjustRightInd w:val="0"/>
        <w:spacing w:after="200"/>
        <w:jc w:val="both"/>
        <w:rPr>
          <w:rFonts w:ascii="Didot" w:hAnsi="Didot" w:cs="Didot"/>
          <w:iCs/>
          <w:color w:val="121212"/>
          <w:sz w:val="22"/>
          <w:szCs w:val="22"/>
          <w:lang w:val="en-GB"/>
        </w:rPr>
      </w:pPr>
      <w:r w:rsidRPr="00907B3C">
        <w:rPr>
          <w:rFonts w:ascii="Didot" w:hAnsi="Didot" w:cs="Didot"/>
          <w:color w:val="121212"/>
          <w:sz w:val="22"/>
          <w:szCs w:val="22"/>
          <w:lang w:val="en-GB"/>
        </w:rPr>
        <w:t>Gardner, F., Collishaw, S., Maughan, B</w:t>
      </w:r>
      <w:proofErr w:type="gramStart"/>
      <w:r w:rsidRPr="00907B3C">
        <w:rPr>
          <w:rFonts w:ascii="Didot" w:hAnsi="Didot" w:cs="Didot"/>
          <w:color w:val="121212"/>
          <w:sz w:val="22"/>
          <w:szCs w:val="22"/>
          <w:lang w:val="en-GB"/>
        </w:rPr>
        <w:t>,  Scott</w:t>
      </w:r>
      <w:proofErr w:type="gramEnd"/>
      <w:r w:rsidRPr="00907B3C">
        <w:rPr>
          <w:rFonts w:ascii="Didot" w:hAnsi="Didot" w:cs="Didot"/>
          <w:color w:val="121212"/>
          <w:sz w:val="22"/>
          <w:szCs w:val="22"/>
          <w:lang w:val="en-GB"/>
        </w:rPr>
        <w:t xml:space="preserve">, J., Schepman, K. &amp; Hagell., A. (2012). Trends in parenting: Can they help explain time trends in problem behaviour?  In A. Hagell (ed) </w:t>
      </w:r>
      <w:proofErr w:type="gramStart"/>
      <w:r w:rsidRPr="00907B3C">
        <w:rPr>
          <w:rFonts w:ascii="Didot" w:hAnsi="Didot" w:cs="Didot"/>
          <w:i/>
          <w:color w:val="121212"/>
          <w:sz w:val="22"/>
          <w:szCs w:val="22"/>
          <w:lang w:val="en-GB"/>
        </w:rPr>
        <w:t>Changing</w:t>
      </w:r>
      <w:proofErr w:type="gramEnd"/>
      <w:r w:rsidRPr="00907B3C">
        <w:rPr>
          <w:rFonts w:ascii="Didot" w:hAnsi="Didot" w:cs="Didot"/>
          <w:i/>
          <w:color w:val="121212"/>
          <w:sz w:val="22"/>
          <w:szCs w:val="22"/>
          <w:lang w:val="en-GB"/>
        </w:rPr>
        <w:t xml:space="preserve"> adolescence: Social trends and mental health</w:t>
      </w:r>
      <w:r w:rsidRPr="00907B3C">
        <w:rPr>
          <w:rFonts w:ascii="Didot" w:hAnsi="Didot" w:cs="Didot"/>
          <w:color w:val="121212"/>
          <w:sz w:val="22"/>
          <w:szCs w:val="22"/>
          <w:lang w:val="en-GB"/>
        </w:rPr>
        <w:t>.  Bristol: Policy Press.</w:t>
      </w:r>
    </w:p>
    <w:p w14:paraId="50BE43F8" w14:textId="77777777" w:rsidR="00AB44E4" w:rsidRPr="00907B3C" w:rsidRDefault="00AB44E4" w:rsidP="008A7E29">
      <w:pPr>
        <w:widowControl w:val="0"/>
        <w:autoSpaceDE w:val="0"/>
        <w:autoSpaceDN w:val="0"/>
        <w:adjustRightInd w:val="0"/>
        <w:spacing w:after="200"/>
        <w:jc w:val="both"/>
        <w:rPr>
          <w:rFonts w:ascii="Didot" w:hAnsi="Didot" w:cs="Didot"/>
          <w:iCs/>
          <w:color w:val="121212"/>
          <w:sz w:val="22"/>
          <w:szCs w:val="22"/>
          <w:lang w:val="en-GB"/>
        </w:rPr>
      </w:pPr>
      <w:r w:rsidRPr="00907B3C">
        <w:rPr>
          <w:rFonts w:ascii="Didot" w:hAnsi="Didot" w:cs="Didot"/>
          <w:color w:val="121212"/>
          <w:sz w:val="22"/>
          <w:szCs w:val="22"/>
          <w:lang w:val="en-GB"/>
        </w:rPr>
        <w:t xml:space="preserve">Gottfredson, D., Cook, T., Gardner, F., Gorman-Smith, D., Howe, G., Sandler, I., Zafft, K. (2014).  Standards of Evidence for Efficacy, Effectiveness, and Scale-up Research in Prevention Science: Next Generation.  Invited submission, </w:t>
      </w:r>
      <w:r w:rsidRPr="00907B3C">
        <w:rPr>
          <w:rFonts w:ascii="Didot" w:hAnsi="Didot" w:cs="Didot"/>
          <w:i/>
          <w:color w:val="121212"/>
          <w:sz w:val="22"/>
          <w:szCs w:val="22"/>
          <w:lang w:val="en-GB"/>
        </w:rPr>
        <w:t>Prevention Science.</w:t>
      </w:r>
    </w:p>
    <w:p w14:paraId="2E42686C"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 xml:space="preserve">Gottfredson, D., Kumpfer, K., Polizzi-Fox, D., Wilson, D., Puryear, V., Beatty, P., &amp; Vilmenay, M. (2006). The Strengthening Washington D.C. Families project: a randomized effectiveness trial of family-based prevention. </w:t>
      </w:r>
      <w:proofErr w:type="gramStart"/>
      <w:r w:rsidRPr="00907B3C">
        <w:rPr>
          <w:rFonts w:ascii="Didot" w:hAnsi="Didot" w:cs="Didot"/>
          <w:i/>
          <w:color w:val="121212"/>
          <w:sz w:val="22"/>
          <w:szCs w:val="22"/>
          <w:lang w:val="en-US"/>
        </w:rPr>
        <w:t>Prevention Science, 7</w:t>
      </w:r>
      <w:r w:rsidRPr="00907B3C">
        <w:rPr>
          <w:rFonts w:ascii="Didot" w:hAnsi="Didot" w:cs="Didot"/>
          <w:color w:val="121212"/>
          <w:sz w:val="22"/>
          <w:szCs w:val="22"/>
          <w:lang w:val="en-US"/>
        </w:rPr>
        <w:t>(1), 57-74.</w:t>
      </w:r>
      <w:bookmarkEnd w:id="86"/>
      <w:proofErr w:type="gramEnd"/>
    </w:p>
    <w:p w14:paraId="44ACBD38"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bookmarkStart w:id="87" w:name="_ENREF_31"/>
      <w:proofErr w:type="gramStart"/>
      <w:r w:rsidRPr="00907B3C">
        <w:rPr>
          <w:rFonts w:ascii="Didot" w:hAnsi="Didot" w:cs="Didot"/>
          <w:color w:val="121212"/>
          <w:sz w:val="22"/>
          <w:szCs w:val="22"/>
          <w:lang w:val="en-US"/>
        </w:rPr>
        <w:t>Knerr, W., Gardner, F., &amp; Cluver, L. (2013).</w:t>
      </w:r>
      <w:proofErr w:type="gramEnd"/>
      <w:r w:rsidRPr="00907B3C">
        <w:rPr>
          <w:rFonts w:ascii="Didot" w:hAnsi="Didot" w:cs="Didot"/>
          <w:color w:val="121212"/>
          <w:sz w:val="22"/>
          <w:szCs w:val="22"/>
          <w:lang w:val="en-US"/>
        </w:rPr>
        <w:t xml:space="preserve"> Improving positive parenting skills and reducing harsh and abusive parenting in low- and middle-income countries: A systematic review. </w:t>
      </w:r>
      <w:proofErr w:type="gramStart"/>
      <w:r w:rsidRPr="00907B3C">
        <w:rPr>
          <w:rFonts w:ascii="Didot" w:hAnsi="Didot" w:cs="Didot"/>
          <w:i/>
          <w:color w:val="121212"/>
          <w:sz w:val="22"/>
          <w:szCs w:val="22"/>
          <w:lang w:val="en-US"/>
        </w:rPr>
        <w:t>Prevention Science, 14</w:t>
      </w:r>
      <w:r w:rsidRPr="00907B3C">
        <w:rPr>
          <w:rFonts w:ascii="Didot" w:hAnsi="Didot" w:cs="Didot"/>
          <w:color w:val="121212"/>
          <w:sz w:val="22"/>
          <w:szCs w:val="22"/>
          <w:lang w:val="en-US"/>
        </w:rPr>
        <w:t>(4), 352-363.</w:t>
      </w:r>
      <w:bookmarkStart w:id="88" w:name="_ENREF_45"/>
      <w:bookmarkEnd w:id="87"/>
      <w:proofErr w:type="gramEnd"/>
    </w:p>
    <w:p w14:paraId="31E3D9D9"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Lachman, J.M., Cluver, L.C., Ward, C.W., Sherr, L., Hutchings, J., Gardner, F., Mjwara, N.S. (2014) “Be a parent to all children” – Integrating evidence-based parenting principles within a local Xhosa cultural context to inform the development of a parenting program for low-income families in South Africa. </w:t>
      </w:r>
      <w:proofErr w:type="gramStart"/>
      <w:r w:rsidRPr="00907B3C">
        <w:rPr>
          <w:rFonts w:ascii="Didot" w:hAnsi="Didot" w:cs="Didot"/>
          <w:i/>
          <w:iCs/>
          <w:color w:val="121212"/>
          <w:sz w:val="22"/>
          <w:szCs w:val="22"/>
          <w:lang w:val="en-US"/>
        </w:rPr>
        <w:t>In submission</w:t>
      </w:r>
      <w:r w:rsidRPr="00907B3C">
        <w:rPr>
          <w:rFonts w:ascii="Didot" w:hAnsi="Didot" w:cs="Didot"/>
          <w:color w:val="121212"/>
          <w:sz w:val="22"/>
          <w:szCs w:val="22"/>
          <w:lang w:val="en-US"/>
        </w:rPr>
        <w:t>.</w:t>
      </w:r>
      <w:proofErr w:type="gramEnd"/>
    </w:p>
    <w:p w14:paraId="0D291EC5"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proofErr w:type="gramStart"/>
      <w:r w:rsidRPr="00907B3C">
        <w:rPr>
          <w:rFonts w:ascii="Didot" w:hAnsi="Didot" w:cs="Didot"/>
          <w:color w:val="121212"/>
          <w:sz w:val="22"/>
          <w:szCs w:val="22"/>
          <w:lang w:val="en-US"/>
        </w:rPr>
        <w:t>Malti, T., Ribeaud, D., &amp; Eisner, M. P. (2011).</w:t>
      </w:r>
      <w:proofErr w:type="gramEnd"/>
      <w:r w:rsidRPr="00907B3C">
        <w:rPr>
          <w:rFonts w:ascii="Didot" w:hAnsi="Didot" w:cs="Didot"/>
          <w:color w:val="121212"/>
          <w:sz w:val="22"/>
          <w:szCs w:val="22"/>
          <w:lang w:val="en-US"/>
        </w:rPr>
        <w:t xml:space="preserve"> The Effectiveness of two universal preventive interventions in reducing children's externalizing behavior: a cluster randomized controlled trial. </w:t>
      </w:r>
      <w:proofErr w:type="gramStart"/>
      <w:r w:rsidRPr="00907B3C">
        <w:rPr>
          <w:rFonts w:ascii="Didot" w:hAnsi="Didot" w:cs="Didot"/>
          <w:i/>
          <w:color w:val="121212"/>
          <w:sz w:val="22"/>
          <w:szCs w:val="22"/>
          <w:lang w:val="en-US"/>
        </w:rPr>
        <w:t>Journal of Clinical Child &amp; Adolescent Psychology, 40</w:t>
      </w:r>
      <w:r w:rsidRPr="00907B3C">
        <w:rPr>
          <w:rFonts w:ascii="Didot" w:hAnsi="Didot" w:cs="Didot"/>
          <w:color w:val="121212"/>
          <w:sz w:val="22"/>
          <w:szCs w:val="22"/>
          <w:lang w:val="en-US"/>
        </w:rPr>
        <w:t>(5), 677-692.</w:t>
      </w:r>
      <w:bookmarkEnd w:id="88"/>
      <w:proofErr w:type="gramEnd"/>
    </w:p>
    <w:p w14:paraId="7D8E233C"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US"/>
        </w:rPr>
      </w:pPr>
      <w:bookmarkStart w:id="89" w:name="_ENREF_49"/>
      <w:r w:rsidRPr="00907B3C">
        <w:rPr>
          <w:rFonts w:ascii="Didot" w:hAnsi="Didot" w:cs="Didot"/>
          <w:color w:val="121212"/>
          <w:sz w:val="22"/>
          <w:szCs w:val="22"/>
          <w:lang w:val="en-US"/>
        </w:rPr>
        <w:t xml:space="preserve">Mejia, A., Calam, R., &amp; Sanders, M. (2014). Examining delivery preferences and cultural relevance of an evidence-based parenting program in a low-resource setting of Central America: Approaching parents as consumers. </w:t>
      </w:r>
      <w:r w:rsidRPr="00907B3C">
        <w:rPr>
          <w:rFonts w:ascii="Didot" w:hAnsi="Didot" w:cs="Didot"/>
          <w:i/>
          <w:iCs/>
          <w:color w:val="121212"/>
          <w:sz w:val="22"/>
          <w:szCs w:val="22"/>
          <w:lang w:val="en-US"/>
        </w:rPr>
        <w:t>Journal of Child and Family Studies</w:t>
      </w:r>
      <w:r w:rsidRPr="00907B3C">
        <w:rPr>
          <w:rFonts w:ascii="Didot" w:hAnsi="Didot" w:cs="Didot"/>
          <w:color w:val="121212"/>
          <w:sz w:val="22"/>
          <w:szCs w:val="22"/>
          <w:lang w:val="en-US"/>
        </w:rPr>
        <w:t>, DOI:</w:t>
      </w:r>
      <w:hyperlink r:id="rId22" w:history="1">
        <w:r w:rsidRPr="00907B3C">
          <w:rPr>
            <w:rStyle w:val="Hyperlink"/>
            <w:rFonts w:ascii="Didot" w:hAnsi="Didot" w:cs="Didot"/>
            <w:sz w:val="22"/>
            <w:szCs w:val="22"/>
            <w:lang w:val="en-US"/>
          </w:rPr>
          <w:t>10.1007/s10826-014-9911-x</w:t>
        </w:r>
      </w:hyperlink>
    </w:p>
    <w:bookmarkEnd w:id="89"/>
    <w:p w14:paraId="50EAB36D"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bCs/>
          <w:color w:val="121212"/>
          <w:sz w:val="22"/>
          <w:szCs w:val="22"/>
          <w:lang w:val="en-GB"/>
        </w:rPr>
        <w:t>Murray J, Anselmi L, Gallo EA, Fleitlich-Bilyk B, Bordin IA (2013)</w:t>
      </w:r>
      <w:r w:rsidRPr="00907B3C">
        <w:rPr>
          <w:rFonts w:ascii="Didot" w:hAnsi="Didot" w:cs="Didot"/>
          <w:color w:val="121212"/>
          <w:sz w:val="22"/>
          <w:szCs w:val="22"/>
          <w:lang w:val="en-GB"/>
        </w:rPr>
        <w:t>.</w:t>
      </w:r>
      <w:proofErr w:type="gramEnd"/>
      <w:r w:rsidRPr="00907B3C">
        <w:rPr>
          <w:rFonts w:ascii="Didot" w:hAnsi="Didot" w:cs="Didot"/>
          <w:color w:val="121212"/>
          <w:sz w:val="22"/>
          <w:szCs w:val="22"/>
          <w:lang w:val="en-GB"/>
        </w:rPr>
        <w:t xml:space="preserve"> Epidemiology of childhood conduct problems in Brazil: systematic review and meta-analysis. </w:t>
      </w:r>
      <w:r w:rsidRPr="00907B3C">
        <w:rPr>
          <w:rFonts w:ascii="Didot" w:hAnsi="Didot" w:cs="Didot"/>
          <w:i/>
          <w:iCs/>
          <w:color w:val="121212"/>
          <w:sz w:val="22"/>
          <w:szCs w:val="22"/>
          <w:lang w:val="en-GB"/>
        </w:rPr>
        <w:t>Soc Psychiatry &amp; Psychiatric Epidemiology</w:t>
      </w:r>
      <w:r w:rsidRPr="00907B3C">
        <w:rPr>
          <w:rFonts w:ascii="Didot" w:hAnsi="Didot" w:cs="Didot"/>
          <w:color w:val="121212"/>
          <w:sz w:val="22"/>
          <w:szCs w:val="22"/>
          <w:lang w:val="en-GB"/>
        </w:rPr>
        <w:t> 48, 1527-38 </w:t>
      </w:r>
    </w:p>
    <w:p w14:paraId="56F23589"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t xml:space="preserve">NICE (2013) NICE Guideline for prevention and management of antisocial behaviour and conduct disorders, London UK. </w:t>
      </w:r>
    </w:p>
    <w:p w14:paraId="24FCB9EA"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Pinker, S. (2011).</w:t>
      </w:r>
      <w:proofErr w:type="gramEnd"/>
      <w:r w:rsidRPr="00907B3C">
        <w:rPr>
          <w:rFonts w:ascii="Didot" w:hAnsi="Didot" w:cs="Didot"/>
          <w:color w:val="121212"/>
          <w:sz w:val="22"/>
          <w:szCs w:val="22"/>
          <w:lang w:val="en-GB"/>
        </w:rPr>
        <w:t> </w:t>
      </w:r>
      <w:r w:rsidRPr="00907B3C">
        <w:rPr>
          <w:rFonts w:ascii="Didot" w:hAnsi="Didot" w:cs="Didot"/>
          <w:i/>
          <w:iCs/>
          <w:color w:val="121212"/>
          <w:sz w:val="22"/>
          <w:szCs w:val="22"/>
          <w:lang w:val="en-GB"/>
        </w:rPr>
        <w:t>The Better Angels of Our Nature: The Decline of Violence In History and Its Causes</w:t>
      </w:r>
      <w:r w:rsidRPr="00907B3C">
        <w:rPr>
          <w:rFonts w:ascii="Didot" w:hAnsi="Didot" w:cs="Didot"/>
          <w:color w:val="121212"/>
          <w:sz w:val="22"/>
          <w:szCs w:val="22"/>
          <w:lang w:val="en-GB"/>
        </w:rPr>
        <w:t>. Penguin UK.</w:t>
      </w:r>
    </w:p>
    <w:p w14:paraId="0E750420"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r w:rsidRPr="00907B3C">
        <w:rPr>
          <w:rFonts w:ascii="Didot" w:hAnsi="Didot" w:cs="Didot"/>
          <w:color w:val="121212"/>
          <w:sz w:val="22"/>
          <w:szCs w:val="22"/>
          <w:lang w:val="en-GB"/>
        </w:rPr>
        <w:lastRenderedPageBreak/>
        <w:t xml:space="preserve">Piquero, A., Farrington, D., Welsh, B., Tremblay, R., &amp; Jennings, W. (2008). Effects of early family / parenting programs on antisocial behavior and delinquency. </w:t>
      </w:r>
      <w:proofErr w:type="gramStart"/>
      <w:r w:rsidRPr="00907B3C">
        <w:rPr>
          <w:rFonts w:ascii="Didot" w:hAnsi="Didot" w:cs="Didot"/>
          <w:i/>
          <w:color w:val="121212"/>
          <w:sz w:val="22"/>
          <w:szCs w:val="22"/>
          <w:lang w:val="en-GB"/>
        </w:rPr>
        <w:t>Campbell Systematic Reviews, 11</w:t>
      </w:r>
      <w:r w:rsidRPr="00907B3C">
        <w:rPr>
          <w:rFonts w:ascii="Didot" w:hAnsi="Didot" w:cs="Didot"/>
          <w:color w:val="121212"/>
          <w:sz w:val="22"/>
          <w:szCs w:val="22"/>
          <w:lang w:val="en-GB"/>
        </w:rPr>
        <w:t>, 1-122.</w:t>
      </w:r>
      <w:proofErr w:type="gramEnd"/>
      <w:r w:rsidRPr="00907B3C">
        <w:rPr>
          <w:rFonts w:ascii="Didot" w:hAnsi="Didot" w:cs="Didot"/>
          <w:color w:val="121212"/>
          <w:sz w:val="22"/>
          <w:szCs w:val="22"/>
          <w:lang w:val="en-GB"/>
        </w:rPr>
        <w:t xml:space="preserve">  DOI: 10.4073/csr.2008.11 </w:t>
      </w:r>
    </w:p>
    <w:p w14:paraId="3A2C095B"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UNICEF (2010).</w:t>
      </w:r>
      <w:proofErr w:type="gramEnd"/>
      <w:r w:rsidRPr="00907B3C">
        <w:rPr>
          <w:rFonts w:ascii="Didot" w:hAnsi="Didot" w:cs="Didot"/>
          <w:color w:val="121212"/>
          <w:sz w:val="22"/>
          <w:szCs w:val="22"/>
          <w:lang w:val="en-GB"/>
        </w:rPr>
        <w:t xml:space="preserve"> </w:t>
      </w:r>
      <w:r w:rsidRPr="00907B3C">
        <w:rPr>
          <w:rFonts w:ascii="Didot" w:hAnsi="Didot" w:cs="Didot"/>
          <w:i/>
          <w:color w:val="121212"/>
          <w:sz w:val="22"/>
          <w:szCs w:val="22"/>
          <w:lang w:val="en-GB"/>
        </w:rPr>
        <w:t>Disciplinary practices at home: evidence from a range of low- and middle-income countries.</w:t>
      </w:r>
      <w:r w:rsidRPr="00907B3C">
        <w:rPr>
          <w:rFonts w:ascii="Didot" w:hAnsi="Didot" w:cs="Didot"/>
          <w:color w:val="121212"/>
          <w:sz w:val="22"/>
          <w:szCs w:val="22"/>
          <w:lang w:val="en-GB"/>
        </w:rPr>
        <w:t xml:space="preserve"> New York: UNICEF.</w:t>
      </w:r>
    </w:p>
    <w:p w14:paraId="466FB7B5"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UNODC (2009).</w:t>
      </w:r>
      <w:proofErr w:type="gramEnd"/>
      <w:r w:rsidRPr="00907B3C">
        <w:rPr>
          <w:rFonts w:ascii="Didot" w:hAnsi="Didot" w:cs="Didot"/>
          <w:color w:val="121212"/>
          <w:sz w:val="22"/>
          <w:szCs w:val="22"/>
          <w:lang w:val="en-GB"/>
        </w:rPr>
        <w:t xml:space="preserve"> </w:t>
      </w:r>
      <w:r w:rsidRPr="00907B3C">
        <w:rPr>
          <w:rFonts w:ascii="Didot" w:hAnsi="Didot" w:cs="Didot"/>
          <w:i/>
          <w:color w:val="121212"/>
          <w:sz w:val="22"/>
          <w:szCs w:val="22"/>
          <w:lang w:val="en-GB"/>
        </w:rPr>
        <w:t xml:space="preserve">Guide to implementing family skills training programmes for drug abuse prevention. </w:t>
      </w:r>
      <w:r w:rsidRPr="00907B3C">
        <w:rPr>
          <w:rFonts w:ascii="Didot" w:hAnsi="Didot" w:cs="Didot"/>
          <w:color w:val="121212"/>
          <w:sz w:val="22"/>
          <w:szCs w:val="22"/>
          <w:lang w:val="en-GB"/>
        </w:rPr>
        <w:t>Vienna: United Nations Office on Drugs and Crime.</w:t>
      </w:r>
    </w:p>
    <w:p w14:paraId="46E777D1" w14:textId="77777777" w:rsidR="00AB44E4" w:rsidRPr="00907B3C" w:rsidRDefault="00AB44E4" w:rsidP="008A7E29">
      <w:pPr>
        <w:widowControl w:val="0"/>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WHO (2010).</w:t>
      </w:r>
      <w:proofErr w:type="gramEnd"/>
      <w:r w:rsidRPr="00907B3C">
        <w:rPr>
          <w:rFonts w:ascii="Didot" w:hAnsi="Didot" w:cs="Didot"/>
          <w:color w:val="121212"/>
          <w:sz w:val="22"/>
          <w:szCs w:val="22"/>
          <w:lang w:val="en-GB"/>
        </w:rPr>
        <w:t xml:space="preserve"> </w:t>
      </w:r>
      <w:r w:rsidRPr="00907B3C">
        <w:rPr>
          <w:rFonts w:ascii="Didot" w:hAnsi="Didot" w:cs="Didot"/>
          <w:i/>
          <w:color w:val="121212"/>
          <w:sz w:val="22"/>
          <w:szCs w:val="22"/>
          <w:lang w:val="en-GB"/>
        </w:rPr>
        <w:t>Violence prevention: The evidence.</w:t>
      </w:r>
      <w:r w:rsidRPr="00907B3C">
        <w:rPr>
          <w:rFonts w:ascii="Didot" w:hAnsi="Didot" w:cs="Didot"/>
          <w:color w:val="121212"/>
          <w:sz w:val="22"/>
          <w:szCs w:val="22"/>
          <w:lang w:val="en-GB"/>
        </w:rPr>
        <w:t xml:space="preserve"> Geneva: WHO </w:t>
      </w:r>
    </w:p>
    <w:p w14:paraId="3E3A2E99" w14:textId="6FFA7B34" w:rsidR="00AB44E4" w:rsidRPr="006916FC" w:rsidRDefault="00AB44E4" w:rsidP="008A7E29">
      <w:pPr>
        <w:widowControl w:val="0"/>
        <w:pBdr>
          <w:bottom w:val="single" w:sz="12" w:space="1" w:color="auto"/>
        </w:pBdr>
        <w:autoSpaceDE w:val="0"/>
        <w:autoSpaceDN w:val="0"/>
        <w:adjustRightInd w:val="0"/>
        <w:spacing w:after="200"/>
        <w:jc w:val="both"/>
        <w:rPr>
          <w:rFonts w:ascii="Didot" w:hAnsi="Didot" w:cs="Didot"/>
          <w:color w:val="121212"/>
          <w:sz w:val="22"/>
          <w:szCs w:val="22"/>
          <w:lang w:val="en-GB"/>
        </w:rPr>
      </w:pPr>
    </w:p>
    <w:p w14:paraId="70F47A3C" w14:textId="77777777" w:rsidR="00AB44E4" w:rsidRPr="006916FC" w:rsidRDefault="00AB44E4" w:rsidP="008A7E29">
      <w:pPr>
        <w:widowControl w:val="0"/>
        <w:autoSpaceDE w:val="0"/>
        <w:autoSpaceDN w:val="0"/>
        <w:adjustRightInd w:val="0"/>
        <w:spacing w:after="200"/>
        <w:jc w:val="both"/>
        <w:rPr>
          <w:rFonts w:ascii="Didot" w:hAnsi="Didot" w:cs="Didot"/>
          <w:color w:val="121212"/>
          <w:sz w:val="22"/>
          <w:szCs w:val="22"/>
          <w:lang w:val="en-US"/>
        </w:rPr>
      </w:pPr>
    </w:p>
    <w:p w14:paraId="0493DC2E" w14:textId="77777777" w:rsidR="00343493" w:rsidRPr="006916FC" w:rsidRDefault="00343493" w:rsidP="008A7E29">
      <w:pPr>
        <w:pStyle w:val="Heading2"/>
        <w:jc w:val="both"/>
        <w:rPr>
          <w:rFonts w:ascii="Didot" w:hAnsi="Didot" w:cs="Didot"/>
          <w:color w:val="auto"/>
          <w:sz w:val="34"/>
          <w:szCs w:val="34"/>
        </w:rPr>
      </w:pPr>
      <w:bookmarkStart w:id="90" w:name="_Toc272639925"/>
      <w:bookmarkStart w:id="91" w:name="_Toc272645048"/>
      <w:r w:rsidRPr="006916FC">
        <w:rPr>
          <w:rFonts w:ascii="Didot" w:hAnsi="Didot" w:cs="Didot"/>
          <w:color w:val="auto"/>
          <w:sz w:val="34"/>
          <w:szCs w:val="34"/>
        </w:rPr>
        <w:t>John Lawrence Aber</w:t>
      </w:r>
      <w:bookmarkEnd w:id="90"/>
      <w:bookmarkEnd w:id="91"/>
    </w:p>
    <w:p w14:paraId="252B75CE"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3772896F" w14:textId="77777777" w:rsidR="00343493" w:rsidRPr="006916FC" w:rsidRDefault="00343493"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400F2E0F" w14:textId="77777777" w:rsidR="00343493" w:rsidRPr="00907B3C" w:rsidRDefault="00343493"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Lawrence Aber is Albert and Blanche Willner Family Professor in Psychology and Public Policy at the Steinhardt School of Culture, Education and Human Development, and University Professor, New York University, where he also serves as board chair of its Institute of Human Development and Social Change.  Dr. Aber earned his Ph.D. from Yale University and an A.B. from Harvard University.  He is an internationally recognized expert in child development and social policy and has co-edited Neighborhood Poverty: Context and Consequences for Children (1997, Russell Sage Foundation), Assessing the Impact of September 11th 2001 on Children Youth and Parents: Lessons for Applied Developmental Science (2004, Erlbaum) and Child Development and Social Policy: Knowledge for Action (2006, APA Publications).  He served as Director of the National Center for Children in Poverty from 1994-2003.  He is Chair of the Board of Directors of the Children's Institute, University of Cape Town, South Africa; and served as consultant to the World Bank on their project, "Children and Youth in Crisis". From 2003-2006, Dr. Aber chaired the Advisory Board, International Research Network on Children and Armed Conflict of the Social Science Research Council, in collaboration with the Special Representative to the Secretary General of the United Nations on Children and Armed Conflict and UNICEF.  In 2006, Dr. Aber was appointed by the Mayor of New York City to the Commission for Economic Opportunity, an initiative to help reduce poverty and increase economic opportunity in New York City. Currently, he conducts research on the impact of poverty and HIV/AIDS on children's development in South Africa (in collaboration with the Human Sciences Research Council), and on school- and community-based interventions in the Democratic Republic of Congo (in collaboration with the International Rescue Committee).</w:t>
      </w:r>
    </w:p>
    <w:p w14:paraId="2166BAE9" w14:textId="77777777" w:rsidR="00F11129" w:rsidRPr="006916FC" w:rsidRDefault="00F11129"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
    <w:p w14:paraId="7D1D3EBA" w14:textId="77777777" w:rsidR="00F11129" w:rsidRPr="006916FC" w:rsidRDefault="00F11129" w:rsidP="008A7E29">
      <w:pPr>
        <w:widowControl w:val="0"/>
        <w:autoSpaceDE w:val="0"/>
        <w:autoSpaceDN w:val="0"/>
        <w:adjustRightInd w:val="0"/>
        <w:spacing w:after="200"/>
        <w:jc w:val="both"/>
        <w:rPr>
          <w:rFonts w:ascii="Didot" w:hAnsi="Didot" w:cs="Didot"/>
          <w:color w:val="121212"/>
          <w:sz w:val="22"/>
          <w:szCs w:val="22"/>
          <w:lang w:val="en-US"/>
        </w:rPr>
      </w:pPr>
    </w:p>
    <w:p w14:paraId="65FC6DB7" w14:textId="782D3FFB" w:rsidR="00343493" w:rsidRPr="006916FC" w:rsidRDefault="00BB521F" w:rsidP="008A7E29">
      <w:pPr>
        <w:widowControl w:val="0"/>
        <w:autoSpaceDE w:val="0"/>
        <w:autoSpaceDN w:val="0"/>
        <w:adjustRightInd w:val="0"/>
        <w:spacing w:after="200"/>
        <w:jc w:val="both"/>
        <w:rPr>
          <w:rFonts w:ascii="Didot" w:hAnsi="Didot" w:cs="Didot"/>
          <w:b/>
          <w:lang w:val="en-US"/>
        </w:rPr>
      </w:pPr>
      <w:r>
        <w:rPr>
          <w:rFonts w:ascii="Didot" w:hAnsi="Didot" w:cs="Didot"/>
          <w:b/>
          <w:lang w:val="en-US"/>
        </w:rPr>
        <w:br w:type="column"/>
      </w:r>
      <w:r w:rsidR="00343493" w:rsidRPr="006916FC">
        <w:rPr>
          <w:rFonts w:ascii="Didot" w:hAnsi="Didot" w:cs="Didot"/>
          <w:b/>
          <w:lang w:val="en-US"/>
        </w:rPr>
        <w:lastRenderedPageBreak/>
        <w:t>Abstract</w:t>
      </w:r>
    </w:p>
    <w:p w14:paraId="2009E0F8"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On the Front Line of Violence Reduction: Generating Evidence for School-based Strategies to Promote Children's Development in Conflict-affected Contexts</w:t>
      </w:r>
    </w:p>
    <w:p w14:paraId="36085B9E" w14:textId="77777777" w:rsidR="00343493" w:rsidRPr="006916F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6916FC">
        <w:rPr>
          <w:rFonts w:ascii="Didot" w:hAnsi="Didot" w:cs="Didot"/>
          <w:color w:val="121212"/>
          <w:sz w:val="22"/>
          <w:szCs w:val="22"/>
          <w:lang w:val="en-US"/>
        </w:rPr>
        <w:t>Schools are the front line of strategies to reduce violence by 50 percent in the next 30 years, given both the increasing number of children around the world attending school and the potential for education to promote the skills necessary for children's – and nations' – prosperity and peace. Nowhere is the need for school-based strategies to reduce violence more urgent than in conflict-affected contexts (CACs), where over 32 million children lack access to the quality education that can mitigate the severe consequences of conflict for children – and potentially help break the intergenerational transmission of violence– through the effective provision of safe and supportive spaces that promote children's academic and socioemotional development. While organizations are increasingly implementing programs to improve access to and quality of edu</w:t>
      </w:r>
      <w:r w:rsidR="00D64F9C" w:rsidRPr="006916FC">
        <w:rPr>
          <w:rFonts w:ascii="Didot" w:hAnsi="Didot" w:cs="Didot"/>
          <w:color w:val="121212"/>
          <w:sz w:val="22"/>
          <w:szCs w:val="22"/>
          <w:lang w:val="en-US"/>
        </w:rPr>
        <w:t>cation in CACs, there remains a</w:t>
      </w:r>
      <w:r w:rsidRPr="006916FC">
        <w:rPr>
          <w:rFonts w:ascii="Didot" w:hAnsi="Didot" w:cs="Didot"/>
          <w:color w:val="121212"/>
          <w:sz w:val="22"/>
          <w:szCs w:val="22"/>
          <w:lang w:val="en-US"/>
        </w:rPr>
        <w:t> "stunning lack of evidence" as to what works. To address this, we report evidence from collaborative efforts with the International Rescue Committee to implement programs with a socioemotional learning focus in the Democratic Republic of the Congo and Lebanon. Attention is given to understanding process and impacts in context, while identifying common elements of programs across contexts that can be used to guide the development of effective and scalable programs.</w:t>
      </w:r>
    </w:p>
    <w:p w14:paraId="79AF87D9" w14:textId="77777777" w:rsidR="00F11129" w:rsidRPr="006916FC" w:rsidRDefault="00F11129"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5DFB8CA9" w14:textId="68C01791" w:rsidR="00D64F9C" w:rsidRPr="006916FC" w:rsidRDefault="00325D10" w:rsidP="008A7E29">
      <w:pPr>
        <w:widowControl w:val="0"/>
        <w:autoSpaceDE w:val="0"/>
        <w:autoSpaceDN w:val="0"/>
        <w:adjustRightInd w:val="0"/>
        <w:spacing w:after="240"/>
        <w:jc w:val="both"/>
        <w:rPr>
          <w:rFonts w:ascii="Didot" w:hAnsi="Didot" w:cs="Didot"/>
          <w:b/>
          <w:lang w:val="en-US"/>
        </w:rPr>
      </w:pPr>
      <w:r w:rsidRPr="006916FC">
        <w:rPr>
          <w:rFonts w:ascii="Didot" w:hAnsi="Didot" w:cs="Didot"/>
          <w:b/>
          <w:lang w:val="en-US"/>
        </w:rPr>
        <w:t>Summary</w:t>
      </w:r>
    </w:p>
    <w:p w14:paraId="0165C130" w14:textId="1B6CCDA7" w:rsidR="00325D10" w:rsidRPr="006916FC" w:rsidRDefault="00325D10"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On the Front Line of Violence Reduction: Generating Evidence for School-based Strategies to Promote Children's Development in Conflict-affected Contexts</w:t>
      </w:r>
    </w:p>
    <w:p w14:paraId="6ACE8170"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Schools are the front line of offense and defense in mounting strategies to reduce violence by 50 percent in the next 30 years. Consider the following: </w:t>
      </w:r>
    </w:p>
    <w:p w14:paraId="0F48860C"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6C4B449C" w14:textId="77777777" w:rsidR="00325D10" w:rsidRPr="00907B3C" w:rsidRDefault="00325D10" w:rsidP="008A7E29">
      <w:pPr>
        <w:widowControl w:val="0"/>
        <w:numPr>
          <w:ilvl w:val="0"/>
          <w:numId w:val="17"/>
        </w:numP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Thanks in part to global efforts like the Millennium Development Goals (MDGs), 90 percent of primary school aged children around the world are now enrolled in school (United Nations, 2014). </w:t>
      </w:r>
    </w:p>
    <w:p w14:paraId="1E94151A" w14:textId="77777777" w:rsidR="00325D10" w:rsidRPr="00907B3C" w:rsidRDefault="00325D10" w:rsidP="008A7E29">
      <w:pPr>
        <w:widowControl w:val="0"/>
        <w:numPr>
          <w:ilvl w:val="0"/>
          <w:numId w:val="17"/>
        </w:numP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Moreover, children ages 5-11 globally are increasingly spending a significant portion of their weekday hours in school (Lloyd, Grant, &amp; Ritchie, 2008). As such, schools are important </w:t>
      </w:r>
      <w:r w:rsidRPr="00907B3C">
        <w:rPr>
          <w:rFonts w:ascii="Didot" w:hAnsi="Didot" w:cs="Didot"/>
          <w:i/>
          <w:color w:val="121212"/>
          <w:sz w:val="22"/>
          <w:szCs w:val="22"/>
          <w:lang w:val="en-US"/>
        </w:rPr>
        <w:t xml:space="preserve">settings </w:t>
      </w:r>
      <w:r w:rsidRPr="00907B3C">
        <w:rPr>
          <w:rFonts w:ascii="Didot" w:hAnsi="Didot" w:cs="Didot"/>
          <w:color w:val="121212"/>
          <w:sz w:val="22"/>
          <w:szCs w:val="22"/>
          <w:lang w:val="en-US"/>
        </w:rPr>
        <w:t>in children’s lives that profoundly shape children’s physical, academic, and socioemotional development (Bronfenbrenner &amp; Morris, 2006).</w:t>
      </w:r>
    </w:p>
    <w:p w14:paraId="31FA46CF" w14:textId="77777777" w:rsidR="00325D10" w:rsidRPr="00907B3C" w:rsidRDefault="00325D10" w:rsidP="008A7E29">
      <w:pPr>
        <w:widowControl w:val="0"/>
        <w:numPr>
          <w:ilvl w:val="0"/>
          <w:numId w:val="17"/>
        </w:numP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School-based mental health and violence prevention programs can be useful in secondary and tertiary </w:t>
      </w:r>
      <w:r w:rsidRPr="00907B3C">
        <w:rPr>
          <w:rFonts w:ascii="Didot" w:hAnsi="Didot" w:cs="Didot"/>
          <w:i/>
          <w:color w:val="121212"/>
          <w:sz w:val="22"/>
          <w:szCs w:val="22"/>
          <w:lang w:val="en-US"/>
        </w:rPr>
        <w:t>prevention</w:t>
      </w:r>
      <w:r w:rsidRPr="00907B3C">
        <w:rPr>
          <w:rFonts w:ascii="Didot" w:hAnsi="Didot" w:cs="Didot"/>
          <w:color w:val="121212"/>
          <w:sz w:val="22"/>
          <w:szCs w:val="22"/>
          <w:lang w:val="en-US"/>
        </w:rPr>
        <w:t xml:space="preserve"> of violence by identifying and targeting for treatment children who have experienced family or </w:t>
      </w:r>
      <w:r w:rsidRPr="00907B3C">
        <w:rPr>
          <w:rFonts w:ascii="Didot" w:hAnsi="Didot" w:cs="Didot"/>
          <w:color w:val="121212"/>
          <w:sz w:val="22"/>
          <w:szCs w:val="22"/>
          <w:lang w:val="en-US"/>
        </w:rPr>
        <w:lastRenderedPageBreak/>
        <w:t xml:space="preserve">community violence and/or who are at risk of perpetrating violence (Stein et al., 2003; Wilson, Lipsey, &amp; Derzon, 2003).   </w:t>
      </w:r>
    </w:p>
    <w:p w14:paraId="697B4E29" w14:textId="77777777" w:rsidR="00325D10" w:rsidRPr="00907B3C" w:rsidRDefault="00325D10" w:rsidP="008A7E29">
      <w:pPr>
        <w:widowControl w:val="0"/>
        <w:numPr>
          <w:ilvl w:val="0"/>
          <w:numId w:val="17"/>
        </w:numP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School-based social-emotional (SEL) interventions that create safe and supportive school ecologies are effective in </w:t>
      </w:r>
      <w:r w:rsidRPr="00907B3C">
        <w:rPr>
          <w:rFonts w:ascii="Didot" w:hAnsi="Didot" w:cs="Didot"/>
          <w:i/>
          <w:color w:val="121212"/>
          <w:sz w:val="22"/>
          <w:szCs w:val="22"/>
          <w:lang w:val="en-US"/>
        </w:rPr>
        <w:t>promoting</w:t>
      </w:r>
      <w:r w:rsidRPr="00907B3C">
        <w:rPr>
          <w:rFonts w:ascii="Didot" w:hAnsi="Didot" w:cs="Didot"/>
          <w:color w:val="121212"/>
          <w:sz w:val="22"/>
          <w:szCs w:val="22"/>
          <w:lang w:val="en-US"/>
        </w:rPr>
        <w:t xml:space="preserve"> children’s academic and socioemotional competencies, which in turn enable them to become productive and healthy members of society (Durlak, Weissberg, Dymnicki, Taylor, &amp; Schellinger, 2011; Jones, Brown, &amp; Aber, 2011)</w:t>
      </w:r>
    </w:p>
    <w:p w14:paraId="3A72685E"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521AA016"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Taken together, this indicates that we must focus on schools in our efforts to address violence at a population-based level: They are the key settings that allow us to </w:t>
      </w:r>
      <w:r w:rsidRPr="00907B3C">
        <w:rPr>
          <w:rFonts w:ascii="Didot" w:hAnsi="Didot" w:cs="Didot"/>
          <w:i/>
          <w:color w:val="121212"/>
          <w:sz w:val="22"/>
          <w:szCs w:val="22"/>
          <w:lang w:val="en-US"/>
        </w:rPr>
        <w:t>reach</w:t>
      </w:r>
      <w:r w:rsidRPr="00907B3C">
        <w:rPr>
          <w:rFonts w:ascii="Didot" w:hAnsi="Didot" w:cs="Didot"/>
          <w:color w:val="121212"/>
          <w:sz w:val="22"/>
          <w:szCs w:val="22"/>
          <w:lang w:val="en-US"/>
        </w:rPr>
        <w:t xml:space="preserve"> and </w:t>
      </w:r>
      <w:r w:rsidRPr="00907B3C">
        <w:rPr>
          <w:rFonts w:ascii="Didot" w:hAnsi="Didot" w:cs="Didot"/>
          <w:i/>
          <w:color w:val="121212"/>
          <w:sz w:val="22"/>
          <w:szCs w:val="22"/>
          <w:lang w:val="en-US"/>
        </w:rPr>
        <w:t>teach</w:t>
      </w:r>
      <w:r w:rsidRPr="00907B3C">
        <w:rPr>
          <w:rFonts w:ascii="Didot" w:hAnsi="Didot" w:cs="Didot"/>
          <w:color w:val="121212"/>
          <w:sz w:val="22"/>
          <w:szCs w:val="22"/>
          <w:lang w:val="en-US"/>
        </w:rPr>
        <w:t xml:space="preserve"> the broadest population of children in order to ensure our global sustainable and peaceful future.  </w:t>
      </w:r>
    </w:p>
    <w:p w14:paraId="627C3FD6"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53A9D865" w14:textId="77777777" w:rsidR="00325D10" w:rsidRPr="00907B3C" w:rsidRDefault="00325D10" w:rsidP="008A7E29">
      <w:pPr>
        <w:widowControl w:val="0"/>
        <w:autoSpaceDE w:val="0"/>
        <w:autoSpaceDN w:val="0"/>
        <w:adjustRightInd w:val="0"/>
        <w:spacing w:after="240"/>
        <w:jc w:val="both"/>
        <w:rPr>
          <w:rFonts w:ascii="Didot" w:hAnsi="Didot" w:cs="Didot"/>
          <w:b/>
          <w:color w:val="121212"/>
          <w:sz w:val="22"/>
          <w:szCs w:val="22"/>
          <w:lang w:val="en-US"/>
        </w:rPr>
      </w:pPr>
      <w:r w:rsidRPr="00907B3C">
        <w:rPr>
          <w:rFonts w:ascii="Didot" w:hAnsi="Didot" w:cs="Didot"/>
          <w:b/>
          <w:color w:val="121212"/>
          <w:sz w:val="22"/>
          <w:szCs w:val="22"/>
          <w:lang w:val="en-US"/>
        </w:rPr>
        <w:t>Education in Conflict-Affected Contexts</w:t>
      </w:r>
    </w:p>
    <w:p w14:paraId="35DF8ADC"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Nowhere are such school-based efforts more urgent than in states afflicted by ongoing conflict.</w:t>
      </w:r>
      <w:r w:rsidRPr="00907B3C">
        <w:rPr>
          <w:rFonts w:ascii="Didot" w:hAnsi="Didot" w:cs="Didot"/>
          <w:color w:val="121212"/>
          <w:sz w:val="22"/>
          <w:szCs w:val="22"/>
          <w:vertAlign w:val="superscript"/>
          <w:lang w:val="en-US"/>
        </w:rPr>
        <w:footnoteReference w:id="24"/>
      </w:r>
      <w:r w:rsidRPr="00907B3C">
        <w:rPr>
          <w:rFonts w:ascii="Didot" w:hAnsi="Didot" w:cs="Didot"/>
          <w:color w:val="121212"/>
          <w:sz w:val="22"/>
          <w:szCs w:val="22"/>
          <w:lang w:val="en-US"/>
        </w:rPr>
        <w:t xml:space="preserve"> Over 1 billion children are currently growing up in situations of armed conflict, the direct and indirect exposure to which poses enduring threats to individual physical and psychosocial health while potentiating future collective violence </w:t>
      </w:r>
      <w:r w:rsidRPr="00907B3C">
        <w:rPr>
          <w:rFonts w:ascii="Didot" w:hAnsi="Didot" w:cs="Didot"/>
          <w:color w:val="121212"/>
          <w:sz w:val="22"/>
          <w:szCs w:val="22"/>
          <w:lang w:val="en-US"/>
        </w:rPr>
        <w:fldChar w:fldCharType="begin"/>
      </w:r>
      <w:r w:rsidRPr="00907B3C">
        <w:rPr>
          <w:rFonts w:ascii="Didot" w:hAnsi="Didot" w:cs="Didot"/>
          <w:color w:val="121212"/>
          <w:sz w:val="22"/>
          <w:szCs w:val="22"/>
          <w:lang w:val="en-US"/>
        </w:rPr>
        <w:instrText xml:space="preserve"> ADDIN PAPERS2_CITATIONS &lt;citation&gt;&lt;uuid&gt;40361D44-67AA-4202-A962-A28669EE0C77&lt;/uuid&gt;&lt;priority&gt;6&lt;/priority&gt;&lt;publications&gt;&lt;publication&gt;&lt;type&gt;400&lt;/type&gt;&lt;publication_date&gt;99201400001200000000200000&lt;/publication_date&gt;&lt;title&gt;G307 The intergenerational effects of war on the health of children&lt;/title&gt;&lt;url&gt;http://adc.bmj.com/content/99/Suppl_1/A126.1.abstract&lt;/url&gt;&lt;subtype&gt;400&lt;/subtype&gt;&lt;uuid&gt;C13E46C8-8C77-4F30-B302-DA8D591482DA&lt;/uuid&gt;&lt;bundle&gt;&lt;publication&gt;&lt;title&gt;Archives of Disease in …&lt;/title&gt;&lt;type&gt;-100&lt;/type&gt;&lt;subtype&gt;-100&lt;/subtype&gt;&lt;uuid&gt;0086F07C-F645-494A-9A94-5D0A154A4DDA&lt;/uuid&gt;&lt;/publication&gt;&lt;/bundle&gt;&lt;authors&gt;&lt;author&gt;&lt;firstName&gt;D&lt;/firstName&gt;&lt;lastName&gt;Devakumar&lt;/lastName&gt;&lt;/author&gt;&lt;author&gt;&lt;firstName&gt;M&lt;/firstName&gt;&lt;lastName&gt;Birch&lt;/lastName&gt;&lt;/author&gt;&lt;author&gt;&lt;firstName&gt;D&lt;/firstName&gt;&lt;lastName&gt;Osrin&lt;/lastName&gt;&lt;/author&gt;&lt;author&gt;&lt;firstName&gt;E&lt;/firstName&gt;&lt;lastName&gt;Sondorp&lt;/lastName&gt;&lt;/author&gt;&lt;/authors&gt;&lt;/publication&gt;&lt;/publications&gt;&lt;cites&gt;&lt;/cites&gt;&lt;/citation&gt;</w:instrText>
      </w:r>
      <w:r w:rsidRPr="00907B3C">
        <w:rPr>
          <w:rFonts w:ascii="Didot" w:hAnsi="Didot" w:cs="Didot"/>
          <w:color w:val="121212"/>
          <w:sz w:val="22"/>
          <w:szCs w:val="22"/>
          <w:lang w:val="en-US"/>
        </w:rPr>
        <w:fldChar w:fldCharType="separate"/>
      </w:r>
      <w:r w:rsidRPr="00907B3C">
        <w:rPr>
          <w:rFonts w:ascii="Didot" w:hAnsi="Didot" w:cs="Didot"/>
          <w:color w:val="121212"/>
          <w:sz w:val="22"/>
          <w:szCs w:val="22"/>
          <w:lang w:val="en-US"/>
        </w:rPr>
        <w:t>(UNICEF, 2009; Devakumar, Birch, Osrin, &amp; Sondorp, 2014)</w:t>
      </w:r>
      <w:r w:rsidRPr="00907B3C">
        <w:rPr>
          <w:rFonts w:ascii="Didot" w:hAnsi="Didot" w:cs="Didot"/>
          <w:color w:val="121212"/>
          <w:sz w:val="22"/>
          <w:szCs w:val="22"/>
          <w:lang w:val="en-US"/>
        </w:rPr>
        <w:fldChar w:fldCharType="end"/>
      </w:r>
      <w:r w:rsidRPr="00907B3C">
        <w:rPr>
          <w:rFonts w:ascii="Didot" w:hAnsi="Didot" w:cs="Didot"/>
          <w:color w:val="121212"/>
          <w:sz w:val="22"/>
          <w:szCs w:val="22"/>
          <w:lang w:val="en-US"/>
        </w:rPr>
        <w:t>. As outlined above, the provision of quality education can play a protective role in mitigating some of the most severe consequences of conflict for children. Yet to date, children who live in conflict-affected contexts (CACs) lag far behind in both access to and quality of education. Of the over 75 million children around the world who are currently out of school, over half live in CACs (INEE, 2014); of the children in CACs who are in school, they are not learning (Torrente, Aber, Shivshanker, Annan, &amp; Bundervoet, 2013). Moreover, research suggests that the lack</w:t>
      </w:r>
      <w:r w:rsidRPr="00907B3C">
        <w:rPr>
          <w:rFonts w:ascii="Didot" w:hAnsi="Didot" w:cs="Didot"/>
          <w:i/>
          <w:color w:val="121212"/>
          <w:sz w:val="22"/>
          <w:szCs w:val="22"/>
          <w:lang w:val="en-US"/>
        </w:rPr>
        <w:t xml:space="preserve"> </w:t>
      </w:r>
      <w:r w:rsidRPr="00907B3C">
        <w:rPr>
          <w:rFonts w:ascii="Didot" w:hAnsi="Didot" w:cs="Didot"/>
          <w:color w:val="121212"/>
          <w:sz w:val="22"/>
          <w:szCs w:val="22"/>
          <w:lang w:val="en-US"/>
        </w:rPr>
        <w:t>of quality and equitable education can further fuel conflict (Humphreys &amp; Weinstein, 2008; Burde et al., under review), creating a vicious cyclical relationship between violence and educational disadvantage.</w:t>
      </w:r>
    </w:p>
    <w:p w14:paraId="5BDEF08A"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12BEB713" w14:textId="77777777" w:rsidR="00325D10" w:rsidRPr="00907B3C" w:rsidRDefault="00325D10" w:rsidP="008A7E29">
      <w:pPr>
        <w:widowControl w:val="0"/>
        <w:autoSpaceDE w:val="0"/>
        <w:autoSpaceDN w:val="0"/>
        <w:adjustRightInd w:val="0"/>
        <w:spacing w:after="240"/>
        <w:jc w:val="both"/>
        <w:rPr>
          <w:rFonts w:ascii="Didot" w:hAnsi="Didot" w:cs="Didot"/>
          <w:b/>
          <w:color w:val="121212"/>
          <w:sz w:val="22"/>
          <w:szCs w:val="22"/>
          <w:lang w:val="en-US"/>
        </w:rPr>
      </w:pPr>
      <w:r w:rsidRPr="00907B3C">
        <w:rPr>
          <w:rFonts w:ascii="Didot" w:hAnsi="Didot" w:cs="Didot"/>
          <w:b/>
          <w:color w:val="121212"/>
          <w:sz w:val="22"/>
          <w:szCs w:val="22"/>
          <w:lang w:val="en-US"/>
        </w:rPr>
        <w:t>School-based Strategies to Promote Children’s Development in Conflict-Affected Countries</w:t>
      </w:r>
    </w:p>
    <w:p w14:paraId="39821EAE"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Recognizing this, national and international organizations have recently made strides to implement programs to improve the practice of education in conflict-affected countries (IRC, 2014; Save the Children, 2010; INEE, 2014). Such programs </w:t>
      </w:r>
      <w:r w:rsidRPr="00907B3C">
        <w:rPr>
          <w:rFonts w:ascii="Didot" w:hAnsi="Didot" w:cs="Didot"/>
          <w:color w:val="121212"/>
          <w:sz w:val="22"/>
          <w:szCs w:val="22"/>
          <w:lang w:val="en-US"/>
        </w:rPr>
        <w:lastRenderedPageBreak/>
        <w:t xml:space="preserve">have yet to be as effective as possible for as many children as possible due the “overwhelming lack of evidence” as to what works to promote children’s development in the context of conflict (Masten &amp; Narayen, 2012). The few rigorous evaluations of programs to promote children’s education in CACs have focused either on programs that: (1) increase access to education via the provision of community-based schools (Burde &amp; Linden, 2013); or (2) promote cooperation and reduce intergroup conflict through the provision of curricular materials (Bar-Tal &amp; Rosen, 2009). We were able to identify no evaluations of programs besides the one described below that assess how school-based interventions in CACs improve the quality of education in order to promote children’s academic and socioemotional learning. </w:t>
      </w:r>
    </w:p>
    <w:p w14:paraId="4FDFDDB0"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5A489907" w14:textId="77777777" w:rsidR="00325D10" w:rsidRPr="00907B3C" w:rsidRDefault="00325D10" w:rsidP="008A7E29">
      <w:pPr>
        <w:widowControl w:val="0"/>
        <w:autoSpaceDE w:val="0"/>
        <w:autoSpaceDN w:val="0"/>
        <w:adjustRightInd w:val="0"/>
        <w:spacing w:after="240"/>
        <w:jc w:val="both"/>
        <w:rPr>
          <w:rFonts w:ascii="Didot" w:hAnsi="Didot" w:cs="Didot"/>
          <w:b/>
          <w:color w:val="121212"/>
          <w:sz w:val="22"/>
          <w:szCs w:val="22"/>
          <w:lang w:val="en-US"/>
        </w:rPr>
      </w:pPr>
      <w:r w:rsidRPr="00907B3C">
        <w:rPr>
          <w:rFonts w:ascii="Didot" w:hAnsi="Didot" w:cs="Didot"/>
          <w:b/>
          <w:color w:val="121212"/>
          <w:sz w:val="22"/>
          <w:szCs w:val="22"/>
          <w:lang w:val="en-US"/>
        </w:rPr>
        <w:t>Building an Evidence Base</w:t>
      </w:r>
    </w:p>
    <w:p w14:paraId="2E23978E"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The nascent international research center at New York University (NYU), Intervention Design, Evaluation, and Applications at Scale (IDEAS) for Kids, is currently engaged in efforts to improve the practice of quality education in conflict-affected contexts by generating the rigorous evidence needed for action. In this work, IDEAS for Kids takes the positions that children’s learning and development requires:</w:t>
      </w:r>
    </w:p>
    <w:p w14:paraId="2679FFA6"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31514DB6" w14:textId="77777777" w:rsidR="00325D10" w:rsidRPr="00907B3C" w:rsidRDefault="00325D10" w:rsidP="008A7E29">
      <w:pPr>
        <w:widowControl w:val="0"/>
        <w:numPr>
          <w:ilvl w:val="0"/>
          <w:numId w:val="18"/>
        </w:numPr>
        <w:autoSpaceDE w:val="0"/>
        <w:autoSpaceDN w:val="0"/>
        <w:adjustRightInd w:val="0"/>
        <w:spacing w:after="240"/>
        <w:jc w:val="both"/>
        <w:rPr>
          <w:rFonts w:ascii="Didot" w:hAnsi="Didot" w:cs="Didot"/>
          <w:color w:val="121212"/>
          <w:sz w:val="22"/>
          <w:szCs w:val="22"/>
          <w:lang w:val="en-US"/>
        </w:rPr>
      </w:pPr>
      <w:r w:rsidRPr="00907B3C">
        <w:rPr>
          <w:rFonts w:ascii="Didot" w:hAnsi="Didot" w:cs="Didot"/>
          <w:b/>
          <w:color w:val="121212"/>
          <w:sz w:val="22"/>
          <w:szCs w:val="22"/>
          <w:lang w:val="en-US"/>
        </w:rPr>
        <w:t>More than improving access to education.</w:t>
      </w:r>
      <w:r w:rsidRPr="00907B3C">
        <w:rPr>
          <w:rFonts w:ascii="Didot" w:hAnsi="Didot" w:cs="Didot"/>
          <w:color w:val="121212"/>
          <w:sz w:val="22"/>
          <w:szCs w:val="22"/>
          <w:lang w:val="en-US"/>
        </w:rPr>
        <w:t xml:space="preserve"> Children must have access to </w:t>
      </w:r>
      <w:r w:rsidRPr="00907B3C">
        <w:rPr>
          <w:rFonts w:ascii="Didot" w:hAnsi="Didot" w:cs="Didot"/>
          <w:i/>
          <w:color w:val="121212"/>
          <w:sz w:val="22"/>
          <w:szCs w:val="22"/>
          <w:lang w:val="en-US"/>
        </w:rPr>
        <w:t>quality</w:t>
      </w:r>
      <w:r w:rsidRPr="00907B3C">
        <w:rPr>
          <w:rFonts w:ascii="Didot" w:hAnsi="Didot" w:cs="Didot"/>
          <w:color w:val="121212"/>
          <w:sz w:val="22"/>
          <w:szCs w:val="22"/>
          <w:lang w:val="en-US"/>
        </w:rPr>
        <w:t xml:space="preserve"> education that promotes multiple </w:t>
      </w:r>
      <w:proofErr w:type="gramStart"/>
      <w:r w:rsidRPr="00907B3C">
        <w:rPr>
          <w:rFonts w:ascii="Didot" w:hAnsi="Didot" w:cs="Didot"/>
          <w:color w:val="121212"/>
          <w:sz w:val="22"/>
          <w:szCs w:val="22"/>
          <w:lang w:val="en-US"/>
        </w:rPr>
        <w:t>and interrelated domains of children’s</w:t>
      </w:r>
      <w:proofErr w:type="gramEnd"/>
      <w:r w:rsidRPr="00907B3C">
        <w:rPr>
          <w:rFonts w:ascii="Didot" w:hAnsi="Didot" w:cs="Didot"/>
          <w:color w:val="121212"/>
          <w:sz w:val="22"/>
          <w:szCs w:val="22"/>
          <w:lang w:val="en-US"/>
        </w:rPr>
        <w:t xml:space="preserve"> learning, including literacy, numeracy, and socioemotional skills (Learning Metrics Task Force, 2013).</w:t>
      </w:r>
    </w:p>
    <w:p w14:paraId="171F00C2" w14:textId="77777777" w:rsidR="00325D10" w:rsidRPr="00907B3C" w:rsidRDefault="00325D10" w:rsidP="008A7E29">
      <w:pPr>
        <w:widowControl w:val="0"/>
        <w:numPr>
          <w:ilvl w:val="0"/>
          <w:numId w:val="18"/>
        </w:numPr>
        <w:autoSpaceDE w:val="0"/>
        <w:autoSpaceDN w:val="0"/>
        <w:adjustRightInd w:val="0"/>
        <w:spacing w:after="240"/>
        <w:jc w:val="both"/>
        <w:rPr>
          <w:rFonts w:ascii="Didot" w:hAnsi="Didot" w:cs="Didot"/>
          <w:color w:val="121212"/>
          <w:sz w:val="22"/>
          <w:szCs w:val="22"/>
          <w:lang w:val="en-US"/>
        </w:rPr>
      </w:pPr>
      <w:r w:rsidRPr="00907B3C">
        <w:rPr>
          <w:rFonts w:ascii="Didot" w:hAnsi="Didot" w:cs="Didot"/>
          <w:b/>
          <w:color w:val="121212"/>
          <w:sz w:val="22"/>
          <w:szCs w:val="22"/>
          <w:lang w:val="en-US"/>
        </w:rPr>
        <w:t xml:space="preserve">More than the provision of classroom and school resources. </w:t>
      </w:r>
      <w:r w:rsidRPr="00907B3C">
        <w:rPr>
          <w:rFonts w:ascii="Didot" w:hAnsi="Didot" w:cs="Didot"/>
          <w:color w:val="121212"/>
          <w:sz w:val="22"/>
          <w:szCs w:val="22"/>
          <w:lang w:val="en-US"/>
        </w:rPr>
        <w:t>Children’s learning requires the effective use of such resources through the provision of classroom instructional and emotional support and classroom management (Cappella &amp; Kim, 2014).</w:t>
      </w:r>
    </w:p>
    <w:p w14:paraId="1B6CCA73" w14:textId="77777777" w:rsidR="00325D10" w:rsidRPr="00907B3C" w:rsidRDefault="00325D10" w:rsidP="008A7E29">
      <w:pPr>
        <w:widowControl w:val="0"/>
        <w:numPr>
          <w:ilvl w:val="0"/>
          <w:numId w:val="18"/>
        </w:numPr>
        <w:autoSpaceDE w:val="0"/>
        <w:autoSpaceDN w:val="0"/>
        <w:adjustRightInd w:val="0"/>
        <w:spacing w:after="240"/>
        <w:jc w:val="both"/>
        <w:rPr>
          <w:rFonts w:ascii="Didot" w:hAnsi="Didot" w:cs="Didot"/>
          <w:color w:val="121212"/>
          <w:sz w:val="22"/>
          <w:szCs w:val="22"/>
          <w:lang w:val="en-US"/>
        </w:rPr>
      </w:pPr>
      <w:r w:rsidRPr="00907B3C">
        <w:rPr>
          <w:rFonts w:ascii="Didot" w:hAnsi="Didot" w:cs="Didot"/>
          <w:b/>
          <w:color w:val="121212"/>
          <w:sz w:val="22"/>
          <w:szCs w:val="22"/>
          <w:lang w:val="en-US"/>
        </w:rPr>
        <w:t xml:space="preserve">More than promoting children’s academic learning. </w:t>
      </w:r>
      <w:r w:rsidRPr="00907B3C">
        <w:rPr>
          <w:rFonts w:ascii="Didot" w:hAnsi="Didot" w:cs="Didot"/>
          <w:color w:val="121212"/>
          <w:sz w:val="22"/>
          <w:szCs w:val="22"/>
          <w:lang w:val="en-US"/>
        </w:rPr>
        <w:t xml:space="preserve">While it is important for children to gain literacy and numeracy skills, it is equally important for children to develop the socioemotional skills that can facilitate their engagement, productivity, and </w:t>
      </w:r>
      <w:proofErr w:type="gramStart"/>
      <w:r w:rsidRPr="00907B3C">
        <w:rPr>
          <w:rFonts w:ascii="Didot" w:hAnsi="Didot" w:cs="Didot"/>
          <w:color w:val="121212"/>
          <w:sz w:val="22"/>
          <w:szCs w:val="22"/>
          <w:lang w:val="en-US"/>
        </w:rPr>
        <w:t>well-being</w:t>
      </w:r>
      <w:proofErr w:type="gramEnd"/>
      <w:r w:rsidRPr="00907B3C">
        <w:rPr>
          <w:rFonts w:ascii="Didot" w:hAnsi="Didot" w:cs="Didot"/>
          <w:color w:val="121212"/>
          <w:sz w:val="22"/>
          <w:szCs w:val="22"/>
          <w:lang w:val="en-US"/>
        </w:rPr>
        <w:t xml:space="preserve"> (Heckman, Stixrud, &amp; Urzua, 2006; Durlak et al., 2010). This is particularly true in CACs, where school-based programming to promote mental health, life skills, and socioemotional skills has the potential to ameliorate trauma and develop children’s natural resiliencies (Winthrop &amp; Kirk, 2008; USAID, 2013).</w:t>
      </w:r>
    </w:p>
    <w:p w14:paraId="379F6B8E"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79EDEEE3"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IDEAS for Kids also recognizes that evaluating one program at a time does not build the body of strong evidence needed for action. As such, IDEAS has established a strategic partnership with the International Rescue Committee (IRC) – a global leader in humanitarian interventions working in over 30 conflict-affected countries – in order to collaborate on the design, implementation, evaluation, and </w:t>
      </w:r>
      <w:r w:rsidRPr="00907B3C">
        <w:rPr>
          <w:rFonts w:ascii="Didot" w:hAnsi="Didot" w:cs="Didot"/>
          <w:color w:val="121212"/>
          <w:sz w:val="22"/>
          <w:szCs w:val="22"/>
          <w:lang w:val="en-US"/>
        </w:rPr>
        <w:lastRenderedPageBreak/>
        <w:t xml:space="preserve">synthesis of a cohesive set of effective and scalable interventions with a social-emotional learning focus to promote children’s learning and development in CACs. To date, we are collaborating in two conflict-affected countries, described below. </w:t>
      </w:r>
    </w:p>
    <w:p w14:paraId="37F28588"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6DF9910A"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roofErr w:type="gramStart"/>
      <w:r w:rsidRPr="00907B3C">
        <w:rPr>
          <w:rFonts w:ascii="Didot" w:hAnsi="Didot" w:cs="Didot"/>
          <w:b/>
          <w:color w:val="121212"/>
          <w:sz w:val="22"/>
          <w:szCs w:val="22"/>
          <w:lang w:val="en-US"/>
        </w:rPr>
        <w:t>The Democratic Republic of the Congo.</w:t>
      </w:r>
      <w:proofErr w:type="gramEnd"/>
      <w:r w:rsidRPr="00907B3C">
        <w:rPr>
          <w:rFonts w:ascii="Didot" w:hAnsi="Didot" w:cs="Didot"/>
          <w:b/>
          <w:color w:val="121212"/>
          <w:sz w:val="22"/>
          <w:szCs w:val="22"/>
          <w:lang w:val="en-US"/>
        </w:rPr>
        <w:t xml:space="preserve"> </w:t>
      </w:r>
      <w:r w:rsidRPr="00907B3C">
        <w:rPr>
          <w:rFonts w:ascii="Didot" w:hAnsi="Didot" w:cs="Didot"/>
          <w:color w:val="121212"/>
          <w:sz w:val="22"/>
          <w:szCs w:val="22"/>
          <w:lang w:val="en-US"/>
        </w:rPr>
        <w:t>The nearly five-year long Second Congo War ended in 2003 and led to over 5.4 million deaths and the displacement of millions more across nine African nations.  Millions of Congolese still face poverty and ongoing violence at the hands of armed groups. With funding from USAID and in collaboration with DRC’s Ministry of Education (MoE), between 2011-2014 the International Rescue Committee targeted 353 primary schools and approximately 480,000 children in three eastern provinces of the DRC (Katanga, South Kivu, North Kivu) to increase opportunities for equitable access to quality basic education through the “Learning in Healing Classrooms” intervention. Learning in Healing Classrooms has two major components: an integrated curriculum that infuses social-emotional learning principles</w:t>
      </w:r>
      <w:r w:rsidRPr="00907B3C">
        <w:rPr>
          <w:rFonts w:ascii="Didot" w:hAnsi="Didot" w:cs="Didot"/>
          <w:b/>
          <w:color w:val="121212"/>
          <w:sz w:val="22"/>
          <w:szCs w:val="22"/>
          <w:lang w:val="en-US"/>
        </w:rPr>
        <w:t xml:space="preserve"> </w:t>
      </w:r>
      <w:r w:rsidRPr="00907B3C">
        <w:rPr>
          <w:rFonts w:ascii="Didot" w:hAnsi="Didot" w:cs="Didot"/>
          <w:color w:val="121212"/>
          <w:sz w:val="22"/>
          <w:szCs w:val="22"/>
          <w:lang w:val="en-US"/>
        </w:rPr>
        <w:t>(Durlak et al., 2011; Torrente et al., 2013) into improved reading and math curricula (Integrated Curricula); and a system of in-service teacher training and coaching via “Teacher Learning Circles” (Teacher Professional Development). The intervention was evaluated using a stratified cluster randomized design, data from the first year of which have been analyzed to date (</w:t>
      </w:r>
      <w:r w:rsidRPr="00907B3C">
        <w:rPr>
          <w:rFonts w:ascii="Didot" w:hAnsi="Didot" w:cs="Didot"/>
          <w:i/>
          <w:color w:val="121212"/>
          <w:sz w:val="22"/>
          <w:szCs w:val="22"/>
          <w:lang w:val="en-US"/>
        </w:rPr>
        <w:t>K</w:t>
      </w:r>
      <w:r w:rsidRPr="00907B3C">
        <w:rPr>
          <w:rFonts w:ascii="Didot" w:hAnsi="Didot" w:cs="Didot"/>
          <w:i/>
          <w:color w:val="121212"/>
          <w:sz w:val="22"/>
          <w:szCs w:val="22"/>
          <w:vertAlign w:val="subscript"/>
          <w:lang w:val="en-US"/>
        </w:rPr>
        <w:t>Clusters</w:t>
      </w:r>
      <w:r w:rsidRPr="00907B3C">
        <w:rPr>
          <w:rFonts w:ascii="Didot" w:hAnsi="Didot" w:cs="Didot"/>
          <w:i/>
          <w:color w:val="121212"/>
          <w:sz w:val="22"/>
          <w:szCs w:val="22"/>
          <w:lang w:val="en-US"/>
        </w:rPr>
        <w:t xml:space="preserve"> = </w:t>
      </w:r>
      <w:r w:rsidRPr="00907B3C">
        <w:rPr>
          <w:rFonts w:ascii="Didot" w:hAnsi="Didot" w:cs="Didot"/>
          <w:color w:val="121212"/>
          <w:sz w:val="22"/>
          <w:szCs w:val="22"/>
          <w:lang w:val="en-US"/>
        </w:rPr>
        <w:t xml:space="preserve">40, </w:t>
      </w:r>
      <w:r w:rsidRPr="00907B3C">
        <w:rPr>
          <w:rFonts w:ascii="Didot" w:hAnsi="Didot" w:cs="Didot"/>
          <w:i/>
          <w:color w:val="121212"/>
          <w:sz w:val="22"/>
          <w:szCs w:val="22"/>
          <w:lang w:val="en-US"/>
        </w:rPr>
        <w:t>J</w:t>
      </w:r>
      <w:r w:rsidRPr="00907B3C">
        <w:rPr>
          <w:rFonts w:ascii="Didot" w:hAnsi="Didot" w:cs="Didot"/>
          <w:i/>
          <w:color w:val="121212"/>
          <w:sz w:val="22"/>
          <w:szCs w:val="22"/>
          <w:vertAlign w:val="subscript"/>
          <w:lang w:val="en-US"/>
        </w:rPr>
        <w:t>Schools</w:t>
      </w:r>
      <w:r w:rsidRPr="00907B3C">
        <w:rPr>
          <w:rFonts w:ascii="Didot" w:hAnsi="Didot" w:cs="Didot"/>
          <w:i/>
          <w:color w:val="121212"/>
          <w:sz w:val="22"/>
          <w:szCs w:val="22"/>
          <w:lang w:val="en-US"/>
        </w:rPr>
        <w:t xml:space="preserve"> = </w:t>
      </w:r>
      <w:r w:rsidRPr="00907B3C">
        <w:rPr>
          <w:rFonts w:ascii="Didot" w:hAnsi="Didot" w:cs="Didot"/>
          <w:color w:val="121212"/>
          <w:sz w:val="22"/>
          <w:szCs w:val="22"/>
          <w:lang w:val="en-US"/>
        </w:rPr>
        <w:t xml:space="preserve">64, </w:t>
      </w:r>
      <w:r w:rsidRPr="00907B3C">
        <w:rPr>
          <w:rFonts w:ascii="Didot" w:hAnsi="Didot" w:cs="Didot"/>
          <w:i/>
          <w:color w:val="121212"/>
          <w:sz w:val="22"/>
          <w:szCs w:val="22"/>
          <w:lang w:val="en-US"/>
        </w:rPr>
        <w:t>I</w:t>
      </w:r>
      <w:r w:rsidRPr="00907B3C">
        <w:rPr>
          <w:rFonts w:ascii="Didot" w:hAnsi="Didot" w:cs="Didot"/>
          <w:i/>
          <w:color w:val="121212"/>
          <w:sz w:val="22"/>
          <w:szCs w:val="22"/>
          <w:vertAlign w:val="subscript"/>
          <w:lang w:val="en-US"/>
        </w:rPr>
        <w:t>Children</w:t>
      </w:r>
      <w:r w:rsidRPr="00907B3C">
        <w:rPr>
          <w:rFonts w:ascii="Didot" w:hAnsi="Didot" w:cs="Didot"/>
          <w:i/>
          <w:color w:val="121212"/>
          <w:sz w:val="22"/>
          <w:szCs w:val="22"/>
          <w:lang w:val="en-US"/>
        </w:rPr>
        <w:t xml:space="preserve"> = </w:t>
      </w:r>
      <w:r w:rsidRPr="00907B3C">
        <w:rPr>
          <w:rFonts w:ascii="Didot" w:hAnsi="Didot" w:cs="Didot"/>
          <w:color w:val="121212"/>
          <w:sz w:val="22"/>
          <w:szCs w:val="22"/>
          <w:lang w:val="en-US"/>
        </w:rPr>
        <w:t xml:space="preserve">4,465). Cross-culturally adapted and validated measures of children’s perceptions of their school ecologies (caring, supportive schools and teachers; predictable/cooperative learning environments), academic outcomes (early grades reading and math abilities) and psychosocial outcomes (mental health symptoms, victimization) were collected pre-intervention (2010) and after one academic year of intervention (2011). Three-level models (children nested in schools nested in intervention clusters) were run to estimate the causal impact of LIHC.  Results after one year of (partial) implementation indicate that: LIHC improved children’s reading and math scores, but had no impact on their mental health symptoms or their experiences of victimization.  LIHC also impacted children’s perceptions of their school ecologies, improving how caring and supportive they felt their teachers and schools to be, but decreasing how predictable and cooperative they perceived their learning environments to be (Aber et al., 2014; Torrente et al., 2014).  </w:t>
      </w:r>
    </w:p>
    <w:p w14:paraId="1A3E1649"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5AE9A67D"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b/>
          <w:color w:val="121212"/>
          <w:sz w:val="22"/>
          <w:szCs w:val="22"/>
          <w:lang w:val="en-US"/>
        </w:rPr>
        <w:t xml:space="preserve">Lebanon. </w:t>
      </w:r>
      <w:r w:rsidRPr="00907B3C">
        <w:rPr>
          <w:rFonts w:ascii="Didot" w:hAnsi="Didot" w:cs="Didot"/>
          <w:color w:val="121212"/>
          <w:sz w:val="22"/>
          <w:szCs w:val="22"/>
          <w:lang w:val="en-US"/>
        </w:rPr>
        <w:t xml:space="preserve">More than 2.8 million refugees have fled the four-year conflict in Syria, with over half of that number – 1.5 million – now residing in informal tent settlements (ITS) and elsewhere in Lebanon (UNHCR, 2014). An estimated 540,000 of the refugees in Lebanon are children, 80 percent of whom are currently out of school. While the Lebanese government has opened Lebanese public schools in second shifts to accommodate the influx of refugee children, the public school system would need to </w:t>
      </w:r>
      <w:r w:rsidRPr="00907B3C">
        <w:rPr>
          <w:rFonts w:ascii="Didot" w:hAnsi="Didot" w:cs="Didot"/>
          <w:i/>
          <w:color w:val="121212"/>
          <w:sz w:val="22"/>
          <w:szCs w:val="22"/>
          <w:lang w:val="en-US"/>
        </w:rPr>
        <w:t xml:space="preserve">triple </w:t>
      </w:r>
      <w:r w:rsidRPr="00907B3C">
        <w:rPr>
          <w:rFonts w:ascii="Didot" w:hAnsi="Didot" w:cs="Didot"/>
          <w:color w:val="121212"/>
          <w:sz w:val="22"/>
          <w:szCs w:val="22"/>
          <w:lang w:val="en-US"/>
        </w:rPr>
        <w:t xml:space="preserve">in size by 2015 in order to give all Syrian children the chance to go to school (IRC, 2013). As a complement to the formal education system, the IRC is collaborating with the Lebanese Ministry of Social Affairs to implement a widely used model of community-based education (CBE) with an SEL focus in areas where public schools are difficult to access. Such models, however, are vastly understudied, with little available evidence as to how best to target, </w:t>
      </w:r>
      <w:r w:rsidRPr="00907B3C">
        <w:rPr>
          <w:rFonts w:ascii="Didot" w:hAnsi="Didot" w:cs="Didot"/>
          <w:color w:val="121212"/>
          <w:sz w:val="22"/>
          <w:szCs w:val="22"/>
          <w:lang w:val="en-US"/>
        </w:rPr>
        <w:lastRenderedPageBreak/>
        <w:t xml:space="preserve">implement, and improve them across different types of is CACs (Burde &amp; Linden, 2013). As such, we are working with the IRC to incorporate the lessons learned from our work in the DRC to: (1) describe the population of Syrian refugee children and their families in Lebanon; (2) understand how the CBE model is being implemented for Syrian refugee children in Lebanon; and (3) evaluate the impact of the establishment and improvement of CBE on Syrian refugee children’s development. </w:t>
      </w:r>
    </w:p>
    <w:p w14:paraId="50A4FD8C" w14:textId="77777777" w:rsidR="00325D10" w:rsidRPr="00907B3C" w:rsidRDefault="00325D10" w:rsidP="008A7E29">
      <w:pPr>
        <w:widowControl w:val="0"/>
        <w:autoSpaceDE w:val="0"/>
        <w:autoSpaceDN w:val="0"/>
        <w:adjustRightInd w:val="0"/>
        <w:spacing w:after="240"/>
        <w:jc w:val="both"/>
        <w:rPr>
          <w:rFonts w:ascii="Didot" w:hAnsi="Didot" w:cs="Didot"/>
          <w:color w:val="121212"/>
          <w:sz w:val="22"/>
          <w:szCs w:val="22"/>
          <w:lang w:val="en-US"/>
        </w:rPr>
      </w:pPr>
    </w:p>
    <w:p w14:paraId="649FD287" w14:textId="77777777" w:rsidR="00325D10" w:rsidRPr="00907B3C" w:rsidRDefault="00325D10" w:rsidP="008A7E29">
      <w:pPr>
        <w:widowControl w:val="0"/>
        <w:autoSpaceDE w:val="0"/>
        <w:autoSpaceDN w:val="0"/>
        <w:adjustRightInd w:val="0"/>
        <w:spacing w:after="240"/>
        <w:jc w:val="both"/>
        <w:rPr>
          <w:rFonts w:ascii="Didot" w:hAnsi="Didot" w:cs="Didot"/>
          <w:b/>
          <w:color w:val="121212"/>
          <w:sz w:val="22"/>
          <w:szCs w:val="22"/>
          <w:lang w:val="en-US"/>
        </w:rPr>
      </w:pPr>
      <w:r w:rsidRPr="00907B3C">
        <w:rPr>
          <w:rFonts w:ascii="Didot" w:hAnsi="Didot" w:cs="Didot"/>
          <w:b/>
          <w:color w:val="121212"/>
          <w:sz w:val="22"/>
          <w:szCs w:val="22"/>
          <w:lang w:val="en-US"/>
        </w:rPr>
        <w:t>Future Directions</w:t>
      </w:r>
    </w:p>
    <w:p w14:paraId="625C69BF" w14:textId="77777777" w:rsidR="00325D10" w:rsidRPr="00907B3C" w:rsidRDefault="00325D10"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We recognize that the type of school-based intervention (e.g., CBE, Teacher Learning Circles) that will work to promote children’s development and reduce violence needs to be tailored to the intervention context, as the programming in the DRC and Lebanon makes clear. At the same time, we are working to identify and provide evidence for common elements – with a focus on SEL programming – of school-based programs that are effective in promoting children’s development across contexts. Our ability to do so, however, is limited by the challenge the instability of CACs poses to the use of traditional rigorous research methodologies (e.g., defining a sampling frame, longitudinal tracking, impact evaluations). Thus as we engage in this work, we are concurrently committed to developing research tools and methodologies adaptable to and deployable in CACs (Montjourides, 2013). </w:t>
      </w:r>
    </w:p>
    <w:p w14:paraId="27BE1A4F" w14:textId="77777777" w:rsidR="00325D10" w:rsidRPr="006916FC" w:rsidRDefault="00325D10"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p>
    <w:p w14:paraId="2C5511D5" w14:textId="43041BCB" w:rsidR="00325D10" w:rsidRPr="006916FC" w:rsidRDefault="00325D10" w:rsidP="008A7E29">
      <w:pPr>
        <w:widowControl w:val="0"/>
        <w:autoSpaceDE w:val="0"/>
        <w:autoSpaceDN w:val="0"/>
        <w:adjustRightInd w:val="0"/>
        <w:spacing w:after="240"/>
        <w:jc w:val="both"/>
        <w:rPr>
          <w:rFonts w:ascii="Didot" w:hAnsi="Didot" w:cs="Didot"/>
          <w:color w:val="121212"/>
          <w:sz w:val="22"/>
          <w:szCs w:val="22"/>
          <w:lang w:val="en-US"/>
        </w:rPr>
      </w:pP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r w:rsidRPr="006916FC">
        <w:rPr>
          <w:rFonts w:ascii="Didot" w:hAnsi="Didot" w:cs="Didot"/>
          <w:color w:val="121212"/>
          <w:sz w:val="22"/>
          <w:szCs w:val="22"/>
          <w:lang w:val="en-US"/>
        </w:rPr>
        <w:softHyphen/>
      </w:r>
    </w:p>
    <w:p w14:paraId="165020EA" w14:textId="77777777" w:rsidR="00343493" w:rsidRPr="006916FC" w:rsidRDefault="00343493" w:rsidP="008A7E29">
      <w:pPr>
        <w:pStyle w:val="Heading2"/>
        <w:jc w:val="both"/>
        <w:rPr>
          <w:rFonts w:ascii="Didot" w:hAnsi="Didot" w:cs="Didot"/>
          <w:color w:val="auto"/>
          <w:sz w:val="34"/>
          <w:szCs w:val="34"/>
        </w:rPr>
      </w:pPr>
      <w:bookmarkStart w:id="92" w:name="_Toc272639926"/>
      <w:bookmarkStart w:id="93" w:name="_Toc272645049"/>
      <w:r w:rsidRPr="006916FC">
        <w:rPr>
          <w:rFonts w:ascii="Didot" w:hAnsi="Didot" w:cs="Didot"/>
          <w:color w:val="auto"/>
          <w:sz w:val="34"/>
          <w:szCs w:val="34"/>
        </w:rPr>
        <w:t>Catherine Ward</w:t>
      </w:r>
      <w:bookmarkEnd w:id="92"/>
      <w:bookmarkEnd w:id="93"/>
    </w:p>
    <w:p w14:paraId="0F531484"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1B0B6B9B" w14:textId="77777777" w:rsidR="00343493" w:rsidRPr="006916FC" w:rsidRDefault="00343493"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202BCE6F" w14:textId="77777777" w:rsidR="00343493" w:rsidRPr="00907B3C" w:rsidRDefault="00343493"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Catherine L. Ward is an Associate Professor in the Department of Psychology at the University of Cape Town, South Africa.  She holds a PhD in Clinical-Community Psychology from the University of South Carolina, USA.  Her research interests are in violence prevention from the perspective of children's development, and particularly in public health approaches to this – in developing evidence-based approaches to violence prevention that have a wide reach and are effective in improving children's development and reducing their likelihood of becoming aggressive.  Much of her current work is focused on preventing child maltreatment, and on understanding the epidemiology of risk factors faced by South African children.</w:t>
      </w:r>
    </w:p>
    <w:p w14:paraId="4B9B49D9" w14:textId="77777777" w:rsidR="00343493" w:rsidRPr="00907B3C" w:rsidRDefault="00343493"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Recently, she and her colleagues Amelia van der Merwe and Andrew Dawes produced the edited volume Youth violence: Sources and solutions in South Africa.  The book reviews the current state of the science in understanding how to prevent children from becoming aggressive, and how to adapt the evidence-base for use in low- and middle-income countries.  It is available </w:t>
      </w:r>
      <w:hyperlink r:id="rId23" w:history="1">
        <w:r w:rsidRPr="00907B3C">
          <w:rPr>
            <w:rFonts w:ascii="Didot" w:hAnsi="Didot" w:cs="Didot"/>
            <w:color w:val="0B5BC4"/>
            <w:sz w:val="22"/>
            <w:szCs w:val="22"/>
            <w:lang w:val="en-US"/>
          </w:rPr>
          <w:t>here</w:t>
        </w:r>
      </w:hyperlink>
      <w:r w:rsidRPr="00907B3C">
        <w:rPr>
          <w:rFonts w:ascii="Didot" w:hAnsi="Didot" w:cs="Didot"/>
          <w:color w:val="121212"/>
          <w:sz w:val="22"/>
          <w:szCs w:val="22"/>
          <w:lang w:val="en-US"/>
        </w:rPr>
        <w:t xml:space="preserve">.  With Peter Donnelly from St Andrews University, she has edited the forthcoming Oxford </w:t>
      </w:r>
      <w:r w:rsidRPr="00907B3C">
        <w:rPr>
          <w:rFonts w:ascii="Didot" w:hAnsi="Didot" w:cs="Didot"/>
          <w:color w:val="121212"/>
          <w:sz w:val="22"/>
          <w:szCs w:val="22"/>
          <w:lang w:val="en-US"/>
        </w:rPr>
        <w:lastRenderedPageBreak/>
        <w:t>Textbook of Violence Prevention: Epidemiology, Evidence and Policy, to be published by Oxford University Press in late 2014.  This book presents the current state of the science in violence prevention.</w:t>
      </w:r>
    </w:p>
    <w:p w14:paraId="1F6CD54A" w14:textId="77777777" w:rsidR="00343493" w:rsidRPr="00907B3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In addition, she co-leads the Parenting Project Group of the World Health Organisation's Violence Prevention Alliance (VPA), serves on the Advisory Board of the Alan J. Flisher Centre for Public Mental Health and the Steering Committee of the Safety and Violence Initiative at the University of Cape Town; and on the Editorial Boards of the journals South African Crime Quarterly, Psychosocial Interventions, and Child Abuse and Neglect.</w:t>
      </w:r>
    </w:p>
    <w:p w14:paraId="2D3F27FD" w14:textId="77777777" w:rsidR="00F11129" w:rsidRPr="006916FC" w:rsidRDefault="00F11129"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03479FBD" w14:textId="77777777" w:rsidR="00EE46BD" w:rsidRPr="006916FC" w:rsidRDefault="00EE46BD" w:rsidP="008A7E29">
      <w:pPr>
        <w:widowControl w:val="0"/>
        <w:autoSpaceDE w:val="0"/>
        <w:autoSpaceDN w:val="0"/>
        <w:adjustRightInd w:val="0"/>
        <w:spacing w:after="240"/>
        <w:jc w:val="both"/>
        <w:rPr>
          <w:rFonts w:ascii="Didot" w:hAnsi="Didot" w:cs="Didot"/>
          <w:color w:val="121212"/>
          <w:sz w:val="22"/>
          <w:szCs w:val="22"/>
          <w:lang w:val="en-US"/>
        </w:rPr>
      </w:pPr>
    </w:p>
    <w:p w14:paraId="004DC24C"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4223A05F"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Building an Evidence-based Support System for Parents in South Africa</w:t>
      </w:r>
    </w:p>
    <w:p w14:paraId="6BCC3048" w14:textId="77777777" w:rsidR="00343493" w:rsidRPr="00907B3C" w:rsidRDefault="00343493"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Several policy documents from both national and provincial government in South Africa have recently identified parenting programmes as important interventions to prevent violence (including child maltreatment and youth violence).  This paper describes the process of using a theory of change approach (a participatory approach to programme planning and evaluation) with the Provincial Government of the Western Cape to help realize this goal.  Key stakeholders were identified, including government decision-makers and non-governmental organisations which implement parenting programmes.  A workshop and a series of interviews were conducted with these stakeholders, in order to reach agreement, first, on critical assumptions (e.g., that all parenting programmes taken to scale will be evidence-based, and that the goal of the initiative is primary prevention), as well as a series of vital practical questions that needed resolution, e.g.: which programmes should be selected for scale-up; targeting, recruitment and retention of programme participants; distribution and location of services; timing and resource allocation; and monitoring and evaluation of services. This paper describes this process, reflects on it as a strategic policy intervention, and on the possibility that it could be adapted for use in other contexts where parenting (or other violence prevention progr</w:t>
      </w:r>
      <w:r w:rsidR="00F11129" w:rsidRPr="00907B3C">
        <w:rPr>
          <w:rFonts w:ascii="Didot" w:hAnsi="Didot" w:cs="Didot"/>
          <w:color w:val="121212"/>
          <w:sz w:val="22"/>
          <w:szCs w:val="22"/>
          <w:lang w:val="en-US"/>
        </w:rPr>
        <w:t>ammes) are to be taken to scale.</w:t>
      </w:r>
    </w:p>
    <w:p w14:paraId="1365253B" w14:textId="77777777" w:rsidR="00F11129" w:rsidRPr="006916FC" w:rsidRDefault="00F11129"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
    <w:p w14:paraId="297B85D0" w14:textId="77777777" w:rsidR="00160E26" w:rsidRPr="006916FC" w:rsidRDefault="00160E26" w:rsidP="008A7E29">
      <w:pPr>
        <w:widowControl w:val="0"/>
        <w:autoSpaceDE w:val="0"/>
        <w:autoSpaceDN w:val="0"/>
        <w:adjustRightInd w:val="0"/>
        <w:jc w:val="both"/>
        <w:rPr>
          <w:rFonts w:ascii="Didot" w:hAnsi="Didot" w:cs="Didot"/>
          <w:color w:val="000000"/>
          <w:sz w:val="20"/>
          <w:szCs w:val="20"/>
          <w:lang w:val="en-US"/>
        </w:rPr>
        <w:sectPr w:rsidR="00160E26" w:rsidRPr="006916FC" w:rsidSect="003D6AB9">
          <w:type w:val="continuous"/>
          <w:pgSz w:w="11900" w:h="16840"/>
          <w:pgMar w:top="1440" w:right="1800" w:bottom="1440" w:left="1800" w:header="708" w:footer="708" w:gutter="0"/>
          <w:cols w:space="708"/>
          <w:docGrid w:linePitch="360"/>
        </w:sectPr>
      </w:pPr>
    </w:p>
    <w:p w14:paraId="02C9501D" w14:textId="77777777" w:rsidR="007A49D4" w:rsidRPr="006916FC" w:rsidRDefault="007A49D4" w:rsidP="008A7E29">
      <w:pPr>
        <w:widowControl w:val="0"/>
        <w:autoSpaceDE w:val="0"/>
        <w:autoSpaceDN w:val="0"/>
        <w:adjustRightInd w:val="0"/>
        <w:jc w:val="both"/>
        <w:rPr>
          <w:rFonts w:ascii="Didot" w:hAnsi="Didot" w:cs="Didot"/>
          <w:b/>
          <w:lang w:val="en-US"/>
        </w:rPr>
        <w:sectPr w:rsidR="007A49D4" w:rsidRPr="006916FC" w:rsidSect="00160E26">
          <w:type w:val="continuous"/>
          <w:pgSz w:w="11900" w:h="16840"/>
          <w:pgMar w:top="1440" w:right="1800" w:bottom="1440" w:left="1800" w:header="708" w:footer="708" w:gutter="0"/>
          <w:cols w:space="708"/>
          <w:docGrid w:linePitch="360"/>
        </w:sectPr>
      </w:pPr>
    </w:p>
    <w:p w14:paraId="637B63C9" w14:textId="7AFC8241" w:rsidR="00900655" w:rsidRPr="006916FC" w:rsidRDefault="00BB521F" w:rsidP="008A7E29">
      <w:pPr>
        <w:widowControl w:val="0"/>
        <w:autoSpaceDE w:val="0"/>
        <w:autoSpaceDN w:val="0"/>
        <w:adjustRightInd w:val="0"/>
        <w:jc w:val="both"/>
        <w:rPr>
          <w:rFonts w:ascii="Didot" w:hAnsi="Didot" w:cs="Didot"/>
          <w:b/>
          <w:lang w:val="en-US"/>
        </w:rPr>
      </w:pPr>
      <w:r>
        <w:rPr>
          <w:rFonts w:ascii="Didot" w:hAnsi="Didot" w:cs="Didot"/>
          <w:b/>
          <w:lang w:val="en-US"/>
        </w:rPr>
        <w:lastRenderedPageBreak/>
        <w:br w:type="column"/>
      </w:r>
      <w:r w:rsidR="00900655" w:rsidRPr="006916FC">
        <w:rPr>
          <w:rFonts w:ascii="Didot" w:hAnsi="Didot" w:cs="Didot"/>
          <w:b/>
          <w:lang w:val="en-US"/>
        </w:rPr>
        <w:lastRenderedPageBreak/>
        <w:t>Summary</w:t>
      </w:r>
    </w:p>
    <w:p w14:paraId="18B5D7B9" w14:textId="77777777" w:rsidR="00B86B1F" w:rsidRPr="006916FC" w:rsidRDefault="00B86B1F" w:rsidP="008A7E29">
      <w:pPr>
        <w:widowControl w:val="0"/>
        <w:autoSpaceDE w:val="0"/>
        <w:autoSpaceDN w:val="0"/>
        <w:adjustRightInd w:val="0"/>
        <w:jc w:val="both"/>
        <w:rPr>
          <w:rFonts w:ascii="Didot" w:hAnsi="Didot" w:cs="Didot"/>
          <w:b/>
          <w:lang w:val="en-US"/>
        </w:rPr>
      </w:pPr>
    </w:p>
    <w:p w14:paraId="0C6707D2" w14:textId="77777777" w:rsidR="00B86B1F" w:rsidRPr="006916FC" w:rsidRDefault="00B86B1F"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Building an Evidence-based Support System for Parents in South Africa</w:t>
      </w:r>
    </w:p>
    <w:p w14:paraId="0FB01105" w14:textId="77777777" w:rsidR="00900655" w:rsidRPr="006916FC" w:rsidRDefault="00900655" w:rsidP="008A7E29">
      <w:pPr>
        <w:widowControl w:val="0"/>
        <w:autoSpaceDE w:val="0"/>
        <w:autoSpaceDN w:val="0"/>
        <w:adjustRightInd w:val="0"/>
        <w:jc w:val="both"/>
        <w:rPr>
          <w:rFonts w:ascii="Didot" w:hAnsi="Didot" w:cs="Didot"/>
          <w:b/>
          <w:lang w:val="en-US"/>
        </w:rPr>
      </w:pPr>
    </w:p>
    <w:p w14:paraId="001309F5"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Introduction</w:t>
      </w:r>
      <w:r w:rsidR="007F4EDF" w:rsidRPr="00907B3C">
        <w:rPr>
          <w:rFonts w:ascii="Didot" w:hAnsi="Didot" w:cs="Didot"/>
          <w:b/>
          <w:sz w:val="22"/>
          <w:szCs w:val="22"/>
          <w:lang w:val="en-US"/>
        </w:rPr>
        <w:t xml:space="preserve"> </w:t>
      </w:r>
    </w:p>
    <w:p w14:paraId="1DC68224" w14:textId="77777777" w:rsidR="00900655" w:rsidRPr="00907B3C" w:rsidRDefault="00900655" w:rsidP="008A7E29">
      <w:pPr>
        <w:widowControl w:val="0"/>
        <w:autoSpaceDE w:val="0"/>
        <w:autoSpaceDN w:val="0"/>
        <w:adjustRightInd w:val="0"/>
        <w:jc w:val="both"/>
        <w:rPr>
          <w:rFonts w:ascii="Didot" w:hAnsi="Didot" w:cs="Didot"/>
          <w:b/>
          <w:sz w:val="22"/>
          <w:szCs w:val="22"/>
          <w:lang w:val="en-US"/>
        </w:rPr>
      </w:pPr>
    </w:p>
    <w:p w14:paraId="7571AFEE"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Why</w:t>
      </w:r>
      <w:r w:rsidR="007F4EDF" w:rsidRPr="00907B3C">
        <w:rPr>
          <w:rFonts w:ascii="Didot" w:hAnsi="Didot" w:cs="Didot"/>
          <w:b/>
          <w:sz w:val="22"/>
          <w:szCs w:val="22"/>
          <w:lang w:val="en-US"/>
        </w:rPr>
        <w:t xml:space="preserve"> </w:t>
      </w:r>
      <w:r w:rsidRPr="00907B3C">
        <w:rPr>
          <w:rFonts w:ascii="Didot" w:hAnsi="Didot" w:cs="Didot"/>
          <w:b/>
          <w:sz w:val="22"/>
          <w:szCs w:val="22"/>
          <w:lang w:val="en-US"/>
        </w:rPr>
        <w:t>support</w:t>
      </w:r>
      <w:r w:rsidR="007F4EDF" w:rsidRPr="00907B3C">
        <w:rPr>
          <w:rFonts w:ascii="Didot" w:hAnsi="Didot" w:cs="Didot"/>
          <w:b/>
          <w:sz w:val="22"/>
          <w:szCs w:val="22"/>
          <w:lang w:val="en-US"/>
        </w:rPr>
        <w:t xml:space="preserve"> </w:t>
      </w:r>
      <w:r w:rsidR="00F11129" w:rsidRPr="00907B3C">
        <w:rPr>
          <w:rFonts w:ascii="Didot" w:hAnsi="Didot" w:cs="Didot"/>
          <w:b/>
          <w:sz w:val="22"/>
          <w:szCs w:val="22"/>
          <w:lang w:val="en-US"/>
        </w:rPr>
        <w:t>parents,</w:t>
      </w:r>
      <w:r w:rsidR="007F4EDF" w:rsidRPr="00907B3C">
        <w:rPr>
          <w:rFonts w:ascii="Didot" w:hAnsi="Didot" w:cs="Didot"/>
          <w:b/>
          <w:sz w:val="22"/>
          <w:szCs w:val="22"/>
          <w:lang w:val="en-US"/>
        </w:rPr>
        <w:t xml:space="preserve"> </w:t>
      </w:r>
      <w:r w:rsidRPr="00907B3C">
        <w:rPr>
          <w:rFonts w:ascii="Didot" w:hAnsi="Didot" w:cs="Didot"/>
          <w:b/>
          <w:sz w:val="22"/>
          <w:szCs w:val="22"/>
          <w:lang w:val="en-US"/>
        </w:rPr>
        <w:t>if</w:t>
      </w:r>
      <w:r w:rsidR="007F4EDF" w:rsidRPr="00907B3C">
        <w:rPr>
          <w:rFonts w:ascii="Didot" w:hAnsi="Didot" w:cs="Didot"/>
          <w:b/>
          <w:sz w:val="22"/>
          <w:szCs w:val="22"/>
          <w:lang w:val="en-US"/>
        </w:rPr>
        <w:t xml:space="preserve"> </w:t>
      </w:r>
      <w:r w:rsidRPr="00907B3C">
        <w:rPr>
          <w:rFonts w:ascii="Didot" w:hAnsi="Didot" w:cs="Didot"/>
          <w:b/>
          <w:sz w:val="22"/>
          <w:szCs w:val="22"/>
          <w:lang w:val="en-US"/>
        </w:rPr>
        <w:t>the</w:t>
      </w:r>
      <w:r w:rsidR="007F4EDF" w:rsidRPr="00907B3C">
        <w:rPr>
          <w:rFonts w:ascii="Didot" w:hAnsi="Didot" w:cs="Didot"/>
          <w:b/>
          <w:sz w:val="22"/>
          <w:szCs w:val="22"/>
          <w:lang w:val="en-US"/>
        </w:rPr>
        <w:t xml:space="preserve"> </w:t>
      </w:r>
      <w:r w:rsidRPr="00907B3C">
        <w:rPr>
          <w:rFonts w:ascii="Didot" w:hAnsi="Didot" w:cs="Didot"/>
          <w:b/>
          <w:sz w:val="22"/>
          <w:szCs w:val="22"/>
          <w:lang w:val="en-US"/>
        </w:rPr>
        <w:t>goal</w:t>
      </w:r>
      <w:r w:rsidR="007F4EDF" w:rsidRPr="00907B3C">
        <w:rPr>
          <w:rFonts w:ascii="Didot" w:hAnsi="Didot" w:cs="Didot"/>
          <w:b/>
          <w:sz w:val="22"/>
          <w:szCs w:val="22"/>
          <w:lang w:val="en-US"/>
        </w:rPr>
        <w:t xml:space="preserve"> </w:t>
      </w:r>
      <w:r w:rsidRPr="00907B3C">
        <w:rPr>
          <w:rFonts w:ascii="Didot" w:hAnsi="Didot" w:cs="Didot"/>
          <w:b/>
          <w:sz w:val="22"/>
          <w:szCs w:val="22"/>
          <w:lang w:val="en-US"/>
        </w:rPr>
        <w:t>is</w:t>
      </w:r>
      <w:r w:rsidR="007F4EDF" w:rsidRPr="00907B3C">
        <w:rPr>
          <w:rFonts w:ascii="Didot" w:hAnsi="Didot" w:cs="Didot"/>
          <w:b/>
          <w:sz w:val="22"/>
          <w:szCs w:val="22"/>
          <w:lang w:val="en-US"/>
        </w:rPr>
        <w:t xml:space="preserve"> </w:t>
      </w:r>
      <w:r w:rsidRPr="00907B3C">
        <w:rPr>
          <w:rFonts w:ascii="Didot" w:hAnsi="Didot" w:cs="Didot"/>
          <w:b/>
          <w:sz w:val="22"/>
          <w:szCs w:val="22"/>
          <w:lang w:val="en-US"/>
        </w:rPr>
        <w:t>to</w:t>
      </w:r>
      <w:r w:rsidR="007F4EDF" w:rsidRPr="00907B3C">
        <w:rPr>
          <w:rFonts w:ascii="Didot" w:hAnsi="Didot" w:cs="Didot"/>
          <w:b/>
          <w:sz w:val="22"/>
          <w:szCs w:val="22"/>
          <w:lang w:val="en-US"/>
        </w:rPr>
        <w:t xml:space="preserve"> </w:t>
      </w:r>
      <w:r w:rsidRPr="00907B3C">
        <w:rPr>
          <w:rFonts w:ascii="Didot" w:hAnsi="Didot" w:cs="Didot"/>
          <w:b/>
          <w:sz w:val="22"/>
          <w:szCs w:val="22"/>
          <w:lang w:val="en-US"/>
        </w:rPr>
        <w:t>prevent</w:t>
      </w:r>
      <w:r w:rsidR="007F4EDF" w:rsidRPr="00907B3C">
        <w:rPr>
          <w:rFonts w:ascii="Didot" w:hAnsi="Didot" w:cs="Didot"/>
          <w:b/>
          <w:sz w:val="22"/>
          <w:szCs w:val="22"/>
          <w:lang w:val="en-US"/>
        </w:rPr>
        <w:t xml:space="preserve"> </w:t>
      </w:r>
      <w:r w:rsidRPr="00907B3C">
        <w:rPr>
          <w:rFonts w:ascii="Didot" w:hAnsi="Didot" w:cs="Didot"/>
          <w:b/>
          <w:sz w:val="22"/>
          <w:szCs w:val="22"/>
          <w:lang w:val="en-US"/>
        </w:rPr>
        <w:t>violence?</w:t>
      </w:r>
      <w:r w:rsidR="007F4EDF" w:rsidRPr="00907B3C">
        <w:rPr>
          <w:rFonts w:ascii="Didot" w:hAnsi="Didot" w:cs="Didot"/>
          <w:b/>
          <w:sz w:val="22"/>
          <w:szCs w:val="22"/>
          <w:lang w:val="en-US"/>
        </w:rPr>
        <w:t xml:space="preserve"> </w:t>
      </w:r>
    </w:p>
    <w:p w14:paraId="25772994" w14:textId="77777777" w:rsidR="007F4EDF" w:rsidRPr="00907B3C" w:rsidRDefault="007F4EDF" w:rsidP="008A7E29">
      <w:pPr>
        <w:widowControl w:val="0"/>
        <w:autoSpaceDE w:val="0"/>
        <w:autoSpaceDN w:val="0"/>
        <w:adjustRightInd w:val="0"/>
        <w:jc w:val="both"/>
        <w:rPr>
          <w:rFonts w:ascii="Didot" w:hAnsi="Didot" w:cs="Didot"/>
          <w:b/>
          <w:sz w:val="22"/>
          <w:szCs w:val="22"/>
          <w:lang w:val="en-US"/>
        </w:rPr>
      </w:pPr>
    </w:p>
    <w:p w14:paraId="6782DFDD"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There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two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reasons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doing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this:</w:t>
      </w:r>
      <w:r w:rsidR="007F4EDF" w:rsidRPr="00907B3C">
        <w:rPr>
          <w:rFonts w:ascii="Didot" w:hAnsi="Didot" w:cs="Didot"/>
          <w:color w:val="000000"/>
          <w:sz w:val="22"/>
          <w:szCs w:val="22"/>
          <w:lang w:val="en-US"/>
        </w:rPr>
        <w:t xml:space="preserve"> </w:t>
      </w:r>
    </w:p>
    <w:p w14:paraId="22D31DF8" w14:textId="77777777" w:rsidR="007F4EDF" w:rsidRPr="00907B3C" w:rsidRDefault="007F4EDF" w:rsidP="008A7E29">
      <w:pPr>
        <w:widowControl w:val="0"/>
        <w:autoSpaceDE w:val="0"/>
        <w:autoSpaceDN w:val="0"/>
        <w:adjustRightInd w:val="0"/>
        <w:jc w:val="both"/>
        <w:rPr>
          <w:rFonts w:ascii="Didot" w:hAnsi="Didot" w:cs="Didot"/>
          <w:color w:val="000000"/>
          <w:sz w:val="22"/>
          <w:szCs w:val="22"/>
          <w:lang w:val="en-US"/>
        </w:rPr>
      </w:pPr>
    </w:p>
    <w:p w14:paraId="1831702A"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1. 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maltreatment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exception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sexual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abuse)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typically</w:t>
      </w:r>
      <w:r w:rsidR="007F4EDF" w:rsidRPr="00907B3C">
        <w:rPr>
          <w:rFonts w:ascii="Didot" w:hAnsi="Didot" w:cs="Didot"/>
          <w:color w:val="000000"/>
          <w:sz w:val="22"/>
          <w:szCs w:val="22"/>
          <w:lang w:val="en-US"/>
        </w:rPr>
        <w:t xml:space="preserve"> </w:t>
      </w:r>
    </w:p>
    <w:p w14:paraId="3BA8B028"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perpetrated</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caregiver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home</w:t>
      </w:r>
      <w:r w:rsidR="007F4EDF" w:rsidRPr="00907B3C">
        <w:rPr>
          <w:rFonts w:ascii="Didot" w:hAnsi="Didot" w:cs="Didot"/>
          <w:color w:val="000000"/>
          <w:sz w:val="22"/>
          <w:szCs w:val="22"/>
          <w:lang w:val="en-US"/>
        </w:rPr>
        <w:t xml:space="preserve"> </w:t>
      </w:r>
      <w:r w:rsidR="00F11129" w:rsidRPr="00907B3C">
        <w:rPr>
          <w:rFonts w:ascii="Didot" w:hAnsi="Didot" w:cs="Didot"/>
          <w:color w:val="000000"/>
          <w:sz w:val="22"/>
          <w:szCs w:val="22"/>
          <w:lang w:val="en-US"/>
        </w:rPr>
        <w:t xml:space="preserve">(May, </w:t>
      </w:r>
      <w:r w:rsidRPr="00907B3C">
        <w:rPr>
          <w:rFonts w:ascii="Didot" w:hAnsi="Didot" w:cs="Didot"/>
          <w:color w:val="000000"/>
          <w:sz w:val="22"/>
          <w:szCs w:val="22"/>
          <w:lang w:val="en-US"/>
        </w:rPr>
        <w:t>Chahal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Cawson,</w:t>
      </w:r>
      <w:r w:rsidR="007F4EDF" w:rsidRPr="00907B3C">
        <w:rPr>
          <w:rFonts w:ascii="Didot" w:hAnsi="Didot" w:cs="Didot"/>
          <w:color w:val="000000"/>
          <w:sz w:val="22"/>
          <w:szCs w:val="22"/>
          <w:lang w:val="en-US"/>
        </w:rPr>
        <w:t xml:space="preserve"> </w:t>
      </w:r>
    </w:p>
    <w:p w14:paraId="517AD183"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2005</w:t>
      </w:r>
      <w:proofErr w:type="gramStart"/>
      <w:r w:rsidRPr="00907B3C">
        <w:rPr>
          <w:rFonts w:ascii="Didot" w:hAnsi="Didot" w:cs="Didot"/>
          <w:color w:val="000000"/>
          <w:sz w:val="22"/>
          <w:szCs w:val="22"/>
          <w:lang w:val="en-US"/>
        </w:rPr>
        <w:t>;</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Sedlak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2010),</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itself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violence.</w:t>
      </w:r>
      <w:r w:rsidR="007F4EDF" w:rsidRPr="00907B3C">
        <w:rPr>
          <w:rFonts w:ascii="Didot" w:hAnsi="Didot" w:cs="Didot"/>
          <w:color w:val="000000"/>
          <w:sz w:val="22"/>
          <w:szCs w:val="22"/>
          <w:lang w:val="en-US"/>
        </w:rPr>
        <w:t xml:space="preserve"> </w:t>
      </w:r>
    </w:p>
    <w:p w14:paraId="6FC46667" w14:textId="77777777" w:rsidR="007F4EDF" w:rsidRPr="00907B3C" w:rsidRDefault="007F4EDF" w:rsidP="008A7E29">
      <w:pPr>
        <w:widowControl w:val="0"/>
        <w:autoSpaceDE w:val="0"/>
        <w:autoSpaceDN w:val="0"/>
        <w:adjustRightInd w:val="0"/>
        <w:jc w:val="both"/>
        <w:rPr>
          <w:rFonts w:ascii="Didot" w:hAnsi="Didot" w:cs="Didot"/>
          <w:color w:val="000000"/>
          <w:sz w:val="22"/>
          <w:szCs w:val="22"/>
          <w:lang w:val="en-US"/>
        </w:rPr>
      </w:pPr>
    </w:p>
    <w:p w14:paraId="5C997920"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2. Harsh,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inconsistent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associated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conduct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problems,</w:t>
      </w:r>
      <w:r w:rsidR="007F4EDF" w:rsidRPr="00907B3C">
        <w:rPr>
          <w:rFonts w:ascii="Didot" w:hAnsi="Didot" w:cs="Didot"/>
          <w:color w:val="000000"/>
          <w:sz w:val="22"/>
          <w:szCs w:val="22"/>
          <w:lang w:val="en-US"/>
        </w:rPr>
        <w:t xml:space="preserve"> </w:t>
      </w:r>
    </w:p>
    <w:p w14:paraId="06C89646" w14:textId="77777777" w:rsidR="007A49D4"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including</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aggression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persist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later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life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(Farrington,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1988).</w:t>
      </w:r>
      <w:r w:rsidR="007F4EDF" w:rsidRPr="00907B3C">
        <w:rPr>
          <w:rFonts w:ascii="Didot" w:hAnsi="Didot" w:cs="Didot"/>
          <w:color w:val="000000"/>
          <w:sz w:val="22"/>
          <w:szCs w:val="22"/>
          <w:lang w:val="en-US"/>
        </w:rPr>
        <w:t xml:space="preserve"> </w:t>
      </w:r>
    </w:p>
    <w:p w14:paraId="5839A025" w14:textId="77777777" w:rsidR="007A49D4" w:rsidRPr="00907B3C" w:rsidRDefault="007A49D4" w:rsidP="008A7E29">
      <w:pPr>
        <w:widowControl w:val="0"/>
        <w:autoSpaceDE w:val="0"/>
        <w:autoSpaceDN w:val="0"/>
        <w:adjustRightInd w:val="0"/>
        <w:jc w:val="both"/>
        <w:rPr>
          <w:rFonts w:ascii="Didot" w:hAnsi="Didot" w:cs="Didot"/>
          <w:color w:val="000000"/>
          <w:sz w:val="22"/>
          <w:szCs w:val="22"/>
          <w:lang w:val="en-US"/>
        </w:rPr>
      </w:pPr>
    </w:p>
    <w:p w14:paraId="35C1856E"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By</w:t>
      </w:r>
      <w:r w:rsidR="007F4EDF" w:rsidRPr="00907B3C">
        <w:rPr>
          <w:rFonts w:ascii="Didot" w:hAnsi="Didot" w:cs="Didot"/>
          <w:color w:val="000000"/>
          <w:sz w:val="22"/>
          <w:szCs w:val="22"/>
          <w:lang w:val="en-US"/>
        </w:rPr>
        <w:t xml:space="preserve"> </w:t>
      </w:r>
      <w:r w:rsidR="00F11129" w:rsidRPr="00907B3C">
        <w:rPr>
          <w:rFonts w:ascii="Didot" w:hAnsi="Didot" w:cs="Didot"/>
          <w:color w:val="000000"/>
          <w:sz w:val="22"/>
          <w:szCs w:val="22"/>
          <w:lang w:val="en-US"/>
        </w:rPr>
        <w:t>c</w:t>
      </w:r>
      <w:r w:rsidRPr="00907B3C">
        <w:rPr>
          <w:rFonts w:ascii="Didot" w:hAnsi="Didot" w:cs="Didot"/>
          <w:color w:val="000000"/>
          <w:sz w:val="22"/>
          <w:szCs w:val="22"/>
          <w:lang w:val="en-US"/>
        </w:rPr>
        <w:t>ontrast,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enables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children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attach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securely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their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caregiver,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learn</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manage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their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emotions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behaviour,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provides</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cognitive</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stimulation,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appears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reduce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likelihood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children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improve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range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outcomes</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(Ogilvie,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Newman,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Todd,</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&amp; Peck, </w:t>
      </w:r>
      <w:r w:rsidRPr="00907B3C">
        <w:rPr>
          <w:rFonts w:ascii="Didot" w:hAnsi="Didot" w:cs="Didot"/>
          <w:color w:val="000000"/>
          <w:sz w:val="22"/>
          <w:szCs w:val="22"/>
          <w:lang w:val="en-US"/>
        </w:rPr>
        <w:t>2</w:t>
      </w:r>
      <w:r w:rsidR="007A49D4" w:rsidRPr="00907B3C">
        <w:rPr>
          <w:rFonts w:ascii="Didot" w:hAnsi="Didot" w:cs="Didot"/>
          <w:color w:val="000000"/>
          <w:sz w:val="22"/>
          <w:szCs w:val="22"/>
          <w:lang w:val="en-US"/>
        </w:rPr>
        <w:t>014;Repetti,Taylor,&amp;Seeman, 2002;Walker,Chang,</w:t>
      </w:r>
      <w:r w:rsidRPr="00907B3C">
        <w:rPr>
          <w:rFonts w:ascii="Didot" w:hAnsi="Didot" w:cs="Didot"/>
          <w:color w:val="000000"/>
          <w:sz w:val="22"/>
          <w:szCs w:val="22"/>
          <w:lang w:val="en-US"/>
        </w:rPr>
        <w:t>Vera</w:t>
      </w:r>
      <w:r w:rsidR="007A49D4" w:rsidRPr="00907B3C">
        <w:rPr>
          <w:rFonts w:ascii="Didot" w:hAnsi="Didot" w:cs="Didot"/>
          <w:color w:val="000000"/>
          <w:sz w:val="22"/>
          <w:szCs w:val="22"/>
          <w:lang w:val="en-US"/>
        </w:rPr>
        <w:t xml:space="preserve"> Hernández, &amp; </w:t>
      </w:r>
      <w:r w:rsidRPr="00907B3C">
        <w:rPr>
          <w:rFonts w:ascii="Didot" w:hAnsi="Didot" w:cs="Didot"/>
          <w:color w:val="000000"/>
          <w:sz w:val="22"/>
          <w:szCs w:val="22"/>
          <w:lang w:val="en-US"/>
        </w:rPr>
        <w:t>Grantham</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McGregor,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2011).</w:t>
      </w:r>
      <w:r w:rsidR="007F4EDF" w:rsidRPr="00907B3C">
        <w:rPr>
          <w:rFonts w:ascii="Didot" w:hAnsi="Didot" w:cs="Didot"/>
          <w:color w:val="000000"/>
          <w:sz w:val="22"/>
          <w:szCs w:val="22"/>
          <w:lang w:val="en-US"/>
        </w:rPr>
        <w:t xml:space="preserve"> </w:t>
      </w:r>
    </w:p>
    <w:p w14:paraId="5C28AC91" w14:textId="77777777" w:rsidR="007A49D4" w:rsidRPr="00907B3C" w:rsidRDefault="007A49D4" w:rsidP="008A7E29">
      <w:pPr>
        <w:widowControl w:val="0"/>
        <w:autoSpaceDE w:val="0"/>
        <w:autoSpaceDN w:val="0"/>
        <w:adjustRightInd w:val="0"/>
        <w:jc w:val="both"/>
        <w:rPr>
          <w:rFonts w:ascii="Didot" w:hAnsi="Didot" w:cs="Didot"/>
          <w:color w:val="000000"/>
          <w:sz w:val="22"/>
          <w:szCs w:val="22"/>
          <w:lang w:val="en-US"/>
        </w:rPr>
      </w:pPr>
    </w:p>
    <w:p w14:paraId="1F712E30" w14:textId="77777777" w:rsidR="00160E26" w:rsidRPr="00907B3C" w:rsidRDefault="00160E26" w:rsidP="008A7E29">
      <w:pPr>
        <w:widowControl w:val="0"/>
        <w:autoSpaceDE w:val="0"/>
        <w:autoSpaceDN w:val="0"/>
        <w:adjustRightInd w:val="0"/>
        <w:jc w:val="both"/>
        <w:rPr>
          <w:rFonts w:ascii="Didot" w:hAnsi="Didot" w:cs="Didot"/>
          <w:color w:val="000000"/>
          <w:sz w:val="22"/>
          <w:szCs w:val="22"/>
          <w:lang w:val="en-US"/>
        </w:rPr>
        <w:sectPr w:rsidR="00160E26" w:rsidRPr="00907B3C" w:rsidSect="00160E26">
          <w:type w:val="continuous"/>
          <w:pgSz w:w="11900" w:h="16840"/>
          <w:pgMar w:top="1440" w:right="1800" w:bottom="1440" w:left="1800" w:header="708" w:footer="708" w:gutter="0"/>
          <w:cols w:space="708"/>
          <w:docGrid w:linePitch="360"/>
        </w:sectPr>
      </w:pPr>
    </w:p>
    <w:p w14:paraId="5405B669" w14:textId="77777777" w:rsidR="007A49D4" w:rsidRPr="00907B3C" w:rsidRDefault="007A49D4" w:rsidP="008A7E29">
      <w:pPr>
        <w:widowControl w:val="0"/>
        <w:autoSpaceDE w:val="0"/>
        <w:autoSpaceDN w:val="0"/>
        <w:adjustRightInd w:val="0"/>
        <w:jc w:val="both"/>
        <w:rPr>
          <w:rFonts w:ascii="Didot" w:hAnsi="Didot" w:cs="Didot"/>
          <w:color w:val="000000"/>
          <w:sz w:val="22"/>
          <w:szCs w:val="22"/>
          <w:lang w:val="en-US"/>
        </w:rPr>
      </w:pPr>
    </w:p>
    <w:p w14:paraId="7A33C537" w14:textId="77777777" w:rsidR="00160E26" w:rsidRPr="00907B3C" w:rsidRDefault="00160E26" w:rsidP="008A7E29">
      <w:pPr>
        <w:widowControl w:val="0"/>
        <w:autoSpaceDE w:val="0"/>
        <w:autoSpaceDN w:val="0"/>
        <w:adjustRightInd w:val="0"/>
        <w:jc w:val="both"/>
        <w:rPr>
          <w:rFonts w:ascii="Didot" w:hAnsi="Didot" w:cs="Didot"/>
          <w:color w:val="000000"/>
          <w:sz w:val="22"/>
          <w:szCs w:val="22"/>
          <w:lang w:val="en-US"/>
        </w:rPr>
        <w:sectPr w:rsidR="00160E26" w:rsidRPr="00907B3C" w:rsidSect="00160E26">
          <w:type w:val="continuous"/>
          <w:pgSz w:w="11900" w:h="16840"/>
          <w:pgMar w:top="1440" w:right="1800" w:bottom="1440" w:left="1800" w:header="708" w:footer="708" w:gutter="0"/>
          <w:cols w:space="708"/>
          <w:docGrid w:linePitch="360"/>
        </w:sectPr>
      </w:pPr>
    </w:p>
    <w:p w14:paraId="2F21BE7A"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lastRenderedPageBreak/>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shown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promise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means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reducing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p>
    <w:p w14:paraId="3C950C96"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maltreatment</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(Barlow,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Johnston,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Kendrick,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Polnay,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StewartTBrown,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2006;</w:t>
      </w:r>
      <w:r w:rsidR="007F4EDF" w:rsidRPr="00907B3C">
        <w:rPr>
          <w:rFonts w:ascii="Didot" w:hAnsi="Didot" w:cs="Didot"/>
          <w:color w:val="000000"/>
          <w:sz w:val="22"/>
          <w:szCs w:val="22"/>
          <w:lang w:val="en-US"/>
        </w:rPr>
        <w:t xml:space="preserve"> </w:t>
      </w:r>
    </w:p>
    <w:p w14:paraId="3D10AE29"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Mikton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Butchart,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2009)</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improving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conduct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problems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(Kaminski,</w:t>
      </w:r>
      <w:r w:rsidR="007F4EDF" w:rsidRPr="00907B3C">
        <w:rPr>
          <w:rFonts w:ascii="Didot" w:hAnsi="Didot" w:cs="Didot"/>
          <w:color w:val="000000"/>
          <w:sz w:val="22"/>
          <w:szCs w:val="22"/>
          <w:lang w:val="en-US"/>
        </w:rPr>
        <w:t xml:space="preserve"> </w:t>
      </w:r>
    </w:p>
    <w:p w14:paraId="43F6224D"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Valle,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Filene,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Boyle,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2008).</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Low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middle </w:t>
      </w:r>
      <w:r w:rsidRPr="00907B3C">
        <w:rPr>
          <w:rFonts w:ascii="Didot" w:hAnsi="Didot" w:cs="Didot"/>
          <w:color w:val="000000"/>
          <w:sz w:val="22"/>
          <w:szCs w:val="22"/>
          <w:lang w:val="en-US"/>
        </w:rPr>
        <w:t>income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countries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tend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p>
    <w:p w14:paraId="548EC1C8"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greatest</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need: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tend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higher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rates</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maltreatment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(Runyan,</w:t>
      </w:r>
      <w:r w:rsidR="007F4EDF" w:rsidRPr="00907B3C">
        <w:rPr>
          <w:rFonts w:ascii="Didot" w:hAnsi="Didot" w:cs="Didot"/>
          <w:color w:val="000000"/>
          <w:sz w:val="22"/>
          <w:szCs w:val="22"/>
          <w:lang w:val="en-US"/>
        </w:rPr>
        <w:t xml:space="preserve"> </w:t>
      </w:r>
    </w:p>
    <w:p w14:paraId="03ACFF62"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Wattam,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Ikeda,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Hassan,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Ramiro,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2002),</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higher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rates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youth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(Mercy,</w:t>
      </w:r>
      <w:r w:rsidR="007F4EDF" w:rsidRPr="00907B3C">
        <w:rPr>
          <w:rFonts w:ascii="Didot" w:hAnsi="Didot" w:cs="Didot"/>
          <w:color w:val="000000"/>
          <w:sz w:val="22"/>
          <w:szCs w:val="22"/>
          <w:lang w:val="en-US"/>
        </w:rPr>
        <w:t xml:space="preserve"> </w:t>
      </w:r>
    </w:p>
    <w:p w14:paraId="1ECE1165"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Butchart,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Farrington,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Cerdá,</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2002),</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conditions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poverty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increase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difficulty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(Elder,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Eccles,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Ardelt,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Lord,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1995;</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Kotchick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Forehand,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2002).</w:t>
      </w:r>
      <w:proofErr w:type="gramEnd"/>
      <w:r w:rsidR="007F4EDF" w:rsidRPr="00907B3C">
        <w:rPr>
          <w:rFonts w:ascii="Didot" w:hAnsi="Didot" w:cs="Didot"/>
          <w:color w:val="000000"/>
          <w:sz w:val="22"/>
          <w:szCs w:val="22"/>
          <w:lang w:val="en-US"/>
        </w:rPr>
        <w:t xml:space="preserve">  </w:t>
      </w:r>
    </w:p>
    <w:p w14:paraId="627E0B68" w14:textId="77777777" w:rsidR="00160E26" w:rsidRPr="00907B3C" w:rsidRDefault="00160E26" w:rsidP="008A7E29">
      <w:pPr>
        <w:widowControl w:val="0"/>
        <w:autoSpaceDE w:val="0"/>
        <w:autoSpaceDN w:val="0"/>
        <w:adjustRightInd w:val="0"/>
        <w:jc w:val="both"/>
        <w:rPr>
          <w:rFonts w:ascii="Didot" w:hAnsi="Didot" w:cs="Didot"/>
          <w:color w:val="4F82BE"/>
          <w:sz w:val="22"/>
          <w:szCs w:val="22"/>
          <w:lang w:val="en-US"/>
        </w:rPr>
        <w:sectPr w:rsidR="00160E26" w:rsidRPr="00907B3C" w:rsidSect="00160E26">
          <w:type w:val="continuous"/>
          <w:pgSz w:w="11900" w:h="16840"/>
          <w:pgMar w:top="1440" w:right="1800" w:bottom="1440" w:left="1800" w:header="708" w:footer="708" w:gutter="0"/>
          <w:cols w:space="708"/>
          <w:docGrid w:linePitch="360"/>
        </w:sectPr>
      </w:pPr>
    </w:p>
    <w:p w14:paraId="18888C12" w14:textId="77777777" w:rsidR="007A49D4" w:rsidRPr="00907B3C" w:rsidRDefault="007A49D4" w:rsidP="008A7E29">
      <w:pPr>
        <w:widowControl w:val="0"/>
        <w:autoSpaceDE w:val="0"/>
        <w:autoSpaceDN w:val="0"/>
        <w:adjustRightInd w:val="0"/>
        <w:jc w:val="both"/>
        <w:rPr>
          <w:rFonts w:ascii="Didot" w:hAnsi="Didot" w:cs="Didot"/>
          <w:b/>
          <w:sz w:val="22"/>
          <w:szCs w:val="22"/>
          <w:lang w:val="en-US"/>
        </w:rPr>
      </w:pPr>
    </w:p>
    <w:p w14:paraId="4972489C"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Parenting</w:t>
      </w:r>
      <w:r w:rsidR="007F4EDF" w:rsidRPr="00907B3C">
        <w:rPr>
          <w:rFonts w:ascii="Didot" w:hAnsi="Didot" w:cs="Didot"/>
          <w:b/>
          <w:sz w:val="22"/>
          <w:szCs w:val="22"/>
          <w:lang w:val="en-US"/>
        </w:rPr>
        <w:t xml:space="preserve"> </w:t>
      </w:r>
      <w:r w:rsidRPr="00907B3C">
        <w:rPr>
          <w:rFonts w:ascii="Didot" w:hAnsi="Didot" w:cs="Didot"/>
          <w:b/>
          <w:sz w:val="22"/>
          <w:szCs w:val="22"/>
          <w:lang w:val="en-US"/>
        </w:rPr>
        <w:t>programmes</w:t>
      </w:r>
      <w:r w:rsidR="007F4EDF" w:rsidRPr="00907B3C">
        <w:rPr>
          <w:rFonts w:ascii="Didot" w:hAnsi="Didot" w:cs="Didot"/>
          <w:b/>
          <w:sz w:val="22"/>
          <w:szCs w:val="22"/>
          <w:lang w:val="en-US"/>
        </w:rPr>
        <w:t xml:space="preserve"> </w:t>
      </w:r>
      <w:r w:rsidRPr="00907B3C">
        <w:rPr>
          <w:rFonts w:ascii="Didot" w:hAnsi="Didot" w:cs="Didot"/>
          <w:b/>
          <w:sz w:val="22"/>
          <w:szCs w:val="22"/>
          <w:lang w:val="en-US"/>
        </w:rPr>
        <w:t>as</w:t>
      </w:r>
      <w:r w:rsidR="007F4EDF" w:rsidRPr="00907B3C">
        <w:rPr>
          <w:rFonts w:ascii="Didot" w:hAnsi="Didot" w:cs="Didot"/>
          <w:b/>
          <w:sz w:val="22"/>
          <w:szCs w:val="22"/>
          <w:lang w:val="en-US"/>
        </w:rPr>
        <w:t xml:space="preserve"> </w:t>
      </w:r>
      <w:r w:rsidRPr="00907B3C">
        <w:rPr>
          <w:rFonts w:ascii="Didot" w:hAnsi="Didot" w:cs="Didot"/>
          <w:b/>
          <w:sz w:val="22"/>
          <w:szCs w:val="22"/>
          <w:lang w:val="en-US"/>
        </w:rPr>
        <w:t>a</w:t>
      </w:r>
      <w:r w:rsidR="007F4EDF" w:rsidRPr="00907B3C">
        <w:rPr>
          <w:rFonts w:ascii="Didot" w:hAnsi="Didot" w:cs="Didot"/>
          <w:b/>
          <w:sz w:val="22"/>
          <w:szCs w:val="22"/>
          <w:lang w:val="en-US"/>
        </w:rPr>
        <w:t xml:space="preserve"> </w:t>
      </w:r>
      <w:r w:rsidRPr="00907B3C">
        <w:rPr>
          <w:rFonts w:ascii="Didot" w:hAnsi="Didot" w:cs="Didot"/>
          <w:b/>
          <w:sz w:val="22"/>
          <w:szCs w:val="22"/>
          <w:lang w:val="en-US"/>
        </w:rPr>
        <w:t>means</w:t>
      </w:r>
      <w:r w:rsidR="007F4EDF" w:rsidRPr="00907B3C">
        <w:rPr>
          <w:rFonts w:ascii="Didot" w:hAnsi="Didot" w:cs="Didot"/>
          <w:b/>
          <w:sz w:val="22"/>
          <w:szCs w:val="22"/>
          <w:lang w:val="en-US"/>
        </w:rPr>
        <w:t xml:space="preserve"> </w:t>
      </w:r>
      <w:r w:rsidRPr="00907B3C">
        <w:rPr>
          <w:rFonts w:ascii="Didot" w:hAnsi="Didot" w:cs="Didot"/>
          <w:b/>
          <w:sz w:val="22"/>
          <w:szCs w:val="22"/>
          <w:lang w:val="en-US"/>
        </w:rPr>
        <w:t>towards</w:t>
      </w:r>
      <w:r w:rsidR="007F4EDF" w:rsidRPr="00907B3C">
        <w:rPr>
          <w:rFonts w:ascii="Didot" w:hAnsi="Didot" w:cs="Didot"/>
          <w:b/>
          <w:sz w:val="22"/>
          <w:szCs w:val="22"/>
          <w:lang w:val="en-US"/>
        </w:rPr>
        <w:t xml:space="preserve"> </w:t>
      </w:r>
      <w:r w:rsidRPr="00907B3C">
        <w:rPr>
          <w:rFonts w:ascii="Didot" w:hAnsi="Didot" w:cs="Didot"/>
          <w:b/>
          <w:sz w:val="22"/>
          <w:szCs w:val="22"/>
          <w:lang w:val="en-US"/>
        </w:rPr>
        <w:t>the</w:t>
      </w:r>
      <w:r w:rsidR="007F4EDF" w:rsidRPr="00907B3C">
        <w:rPr>
          <w:rFonts w:ascii="Didot" w:hAnsi="Didot" w:cs="Didot"/>
          <w:b/>
          <w:sz w:val="22"/>
          <w:szCs w:val="22"/>
          <w:lang w:val="en-US"/>
        </w:rPr>
        <w:t xml:space="preserve"> </w:t>
      </w:r>
      <w:r w:rsidRPr="00907B3C">
        <w:rPr>
          <w:rFonts w:ascii="Didot" w:hAnsi="Didot" w:cs="Didot"/>
          <w:b/>
          <w:sz w:val="22"/>
          <w:szCs w:val="22"/>
          <w:lang w:val="en-US"/>
        </w:rPr>
        <w:t>goal</w:t>
      </w:r>
      <w:r w:rsidR="007F4EDF" w:rsidRPr="00907B3C">
        <w:rPr>
          <w:rFonts w:ascii="Didot" w:hAnsi="Didot" w:cs="Didot"/>
          <w:b/>
          <w:sz w:val="22"/>
          <w:szCs w:val="22"/>
          <w:lang w:val="en-US"/>
        </w:rPr>
        <w:t xml:space="preserve"> </w:t>
      </w:r>
      <w:r w:rsidRPr="00907B3C">
        <w:rPr>
          <w:rFonts w:ascii="Didot" w:hAnsi="Didot" w:cs="Didot"/>
          <w:b/>
          <w:sz w:val="22"/>
          <w:szCs w:val="22"/>
          <w:lang w:val="en-US"/>
        </w:rPr>
        <w:t>of</w:t>
      </w:r>
      <w:r w:rsidR="007F4EDF" w:rsidRPr="00907B3C">
        <w:rPr>
          <w:rFonts w:ascii="Didot" w:hAnsi="Didot" w:cs="Didot"/>
          <w:b/>
          <w:sz w:val="22"/>
          <w:szCs w:val="22"/>
          <w:lang w:val="en-US"/>
        </w:rPr>
        <w:t xml:space="preserve"> </w:t>
      </w:r>
      <w:r w:rsidRPr="00907B3C">
        <w:rPr>
          <w:rFonts w:ascii="Didot" w:hAnsi="Didot" w:cs="Didot"/>
          <w:b/>
          <w:sz w:val="22"/>
          <w:szCs w:val="22"/>
          <w:lang w:val="en-US"/>
        </w:rPr>
        <w:t>reducing</w:t>
      </w:r>
      <w:r w:rsidR="007F4EDF" w:rsidRPr="00907B3C">
        <w:rPr>
          <w:rFonts w:ascii="Didot" w:hAnsi="Didot" w:cs="Didot"/>
          <w:b/>
          <w:sz w:val="22"/>
          <w:szCs w:val="22"/>
          <w:lang w:val="en-US"/>
        </w:rPr>
        <w:t xml:space="preserve"> </w:t>
      </w:r>
      <w:r w:rsidRPr="00907B3C">
        <w:rPr>
          <w:rFonts w:ascii="Didot" w:hAnsi="Didot" w:cs="Didot"/>
          <w:b/>
          <w:sz w:val="22"/>
          <w:szCs w:val="22"/>
          <w:lang w:val="en-US"/>
        </w:rPr>
        <w:t>violence</w:t>
      </w:r>
      <w:r w:rsidR="007F4EDF" w:rsidRPr="00907B3C">
        <w:rPr>
          <w:rFonts w:ascii="Didot" w:hAnsi="Didot" w:cs="Didot"/>
          <w:b/>
          <w:sz w:val="22"/>
          <w:szCs w:val="22"/>
          <w:lang w:val="en-US"/>
        </w:rPr>
        <w:t xml:space="preserve"> </w:t>
      </w:r>
      <w:r w:rsidRPr="00907B3C">
        <w:rPr>
          <w:rFonts w:ascii="Didot" w:hAnsi="Didot" w:cs="Didot"/>
          <w:b/>
          <w:sz w:val="22"/>
          <w:szCs w:val="22"/>
          <w:lang w:val="en-US"/>
        </w:rPr>
        <w:t>by</w:t>
      </w:r>
      <w:r w:rsidR="007F4EDF" w:rsidRPr="00907B3C">
        <w:rPr>
          <w:rFonts w:ascii="Didot" w:hAnsi="Didot" w:cs="Didot"/>
          <w:b/>
          <w:sz w:val="22"/>
          <w:szCs w:val="22"/>
          <w:lang w:val="en-US"/>
        </w:rPr>
        <w:t xml:space="preserve"> </w:t>
      </w:r>
      <w:r w:rsidRPr="00907B3C">
        <w:rPr>
          <w:rFonts w:ascii="Didot" w:hAnsi="Didot" w:cs="Didot"/>
          <w:b/>
          <w:sz w:val="22"/>
          <w:szCs w:val="22"/>
          <w:lang w:val="en-US"/>
        </w:rPr>
        <w:t>50%</w:t>
      </w:r>
      <w:r w:rsidR="007F4EDF" w:rsidRPr="00907B3C">
        <w:rPr>
          <w:rFonts w:ascii="Didot" w:hAnsi="Didot" w:cs="Didot"/>
          <w:b/>
          <w:sz w:val="22"/>
          <w:szCs w:val="22"/>
          <w:lang w:val="en-US"/>
        </w:rPr>
        <w:t xml:space="preserve"> </w:t>
      </w:r>
      <w:r w:rsidRPr="00907B3C">
        <w:rPr>
          <w:rFonts w:ascii="Didot" w:hAnsi="Didot" w:cs="Didot"/>
          <w:b/>
          <w:sz w:val="22"/>
          <w:szCs w:val="22"/>
          <w:lang w:val="en-US"/>
        </w:rPr>
        <w:t>in</w:t>
      </w:r>
      <w:r w:rsidR="007F4EDF" w:rsidRPr="00907B3C">
        <w:rPr>
          <w:rFonts w:ascii="Didot" w:hAnsi="Didot" w:cs="Didot"/>
          <w:b/>
          <w:sz w:val="22"/>
          <w:szCs w:val="22"/>
          <w:lang w:val="en-US"/>
        </w:rPr>
        <w:t xml:space="preserve"> </w:t>
      </w:r>
      <w:r w:rsidRPr="00907B3C">
        <w:rPr>
          <w:rFonts w:ascii="Didot" w:hAnsi="Didot" w:cs="Didot"/>
          <w:b/>
          <w:sz w:val="22"/>
          <w:szCs w:val="22"/>
          <w:lang w:val="en-US"/>
        </w:rPr>
        <w:t>the</w:t>
      </w:r>
      <w:r w:rsidR="007F4EDF" w:rsidRPr="00907B3C">
        <w:rPr>
          <w:rFonts w:ascii="Didot" w:hAnsi="Didot" w:cs="Didot"/>
          <w:b/>
          <w:sz w:val="22"/>
          <w:szCs w:val="22"/>
          <w:lang w:val="en-US"/>
        </w:rPr>
        <w:t xml:space="preserve"> </w:t>
      </w:r>
      <w:r w:rsidRPr="00907B3C">
        <w:rPr>
          <w:rFonts w:ascii="Didot" w:hAnsi="Didot" w:cs="Didot"/>
          <w:b/>
          <w:sz w:val="22"/>
          <w:szCs w:val="22"/>
          <w:lang w:val="en-US"/>
        </w:rPr>
        <w:t>next</w:t>
      </w:r>
      <w:r w:rsidR="007F4EDF" w:rsidRPr="00907B3C">
        <w:rPr>
          <w:rFonts w:ascii="Didot" w:hAnsi="Didot" w:cs="Didot"/>
          <w:b/>
          <w:sz w:val="22"/>
          <w:szCs w:val="22"/>
          <w:lang w:val="en-US"/>
        </w:rPr>
        <w:t xml:space="preserve"> </w:t>
      </w:r>
      <w:r w:rsidRPr="00907B3C">
        <w:rPr>
          <w:rFonts w:ascii="Didot" w:hAnsi="Didot" w:cs="Didot"/>
          <w:b/>
          <w:sz w:val="22"/>
          <w:szCs w:val="22"/>
          <w:lang w:val="en-US"/>
        </w:rPr>
        <w:t>generation</w:t>
      </w:r>
      <w:r w:rsidR="007F4EDF" w:rsidRPr="00907B3C">
        <w:rPr>
          <w:rFonts w:ascii="Didot" w:hAnsi="Didot" w:cs="Didot"/>
          <w:b/>
          <w:sz w:val="22"/>
          <w:szCs w:val="22"/>
          <w:lang w:val="en-US"/>
        </w:rPr>
        <w:t xml:space="preserve"> </w:t>
      </w:r>
    </w:p>
    <w:p w14:paraId="405859BF" w14:textId="77777777" w:rsidR="007A49D4" w:rsidRPr="00907B3C" w:rsidRDefault="007A49D4" w:rsidP="008A7E29">
      <w:pPr>
        <w:widowControl w:val="0"/>
        <w:autoSpaceDE w:val="0"/>
        <w:autoSpaceDN w:val="0"/>
        <w:adjustRightInd w:val="0"/>
        <w:jc w:val="both"/>
        <w:rPr>
          <w:rFonts w:ascii="Didot" w:hAnsi="Didot" w:cs="Didot"/>
          <w:b/>
          <w:sz w:val="22"/>
          <w:szCs w:val="22"/>
          <w:lang w:val="en-US"/>
        </w:rPr>
      </w:pPr>
    </w:p>
    <w:p w14:paraId="1877BC65"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Reaching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enough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reduce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maltreatment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conduct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problems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50%</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population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means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rollTout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p>
    <w:p w14:paraId="44833786"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There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several</w:t>
      </w:r>
      <w:r w:rsidR="007F4EDF" w:rsidRPr="00907B3C">
        <w:rPr>
          <w:rFonts w:ascii="Didot" w:hAnsi="Didot" w:cs="Didot"/>
          <w:color w:val="000000"/>
          <w:sz w:val="22"/>
          <w:szCs w:val="22"/>
          <w:lang w:val="en-US"/>
        </w:rPr>
        <w:t xml:space="preserve"> </w:t>
      </w:r>
      <w:proofErr w:type="gramStart"/>
      <w:r w:rsidR="007A49D4" w:rsidRPr="00907B3C">
        <w:rPr>
          <w:rFonts w:ascii="Didot" w:hAnsi="Didot" w:cs="Didot"/>
          <w:color w:val="000000"/>
          <w:sz w:val="22"/>
          <w:szCs w:val="22"/>
          <w:lang w:val="en-US"/>
        </w:rPr>
        <w:t xml:space="preserve">well </w:t>
      </w:r>
      <w:r w:rsidRPr="00907B3C">
        <w:rPr>
          <w:rFonts w:ascii="Didot" w:hAnsi="Didot" w:cs="Didot"/>
          <w:color w:val="000000"/>
          <w:sz w:val="22"/>
          <w:szCs w:val="22"/>
          <w:lang w:val="en-US"/>
        </w:rPr>
        <w:t>established</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criteria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taking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p>
    <w:p w14:paraId="78F5D86F"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(Bradach,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2003;</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Flay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2005;</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Milat,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Bauman,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Redman,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2012):</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p>
    <w:p w14:paraId="0A7D027A"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programme</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evidence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effectiveness,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manualised,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clear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theory</w:t>
      </w:r>
      <w:r w:rsidR="007F4EDF" w:rsidRPr="00907B3C">
        <w:rPr>
          <w:rFonts w:ascii="Didot" w:hAnsi="Didot" w:cs="Didot"/>
          <w:color w:val="000000"/>
          <w:sz w:val="22"/>
          <w:szCs w:val="22"/>
          <w:lang w:val="en-US"/>
        </w:rPr>
        <w:t xml:space="preserve"> </w:t>
      </w:r>
    </w:p>
    <w:p w14:paraId="78D4C860" w14:textId="77777777" w:rsidR="00B552DA" w:rsidRPr="00907B3C" w:rsidRDefault="007F4EDF"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                                                        </w:t>
      </w:r>
    </w:p>
    <w:p w14:paraId="161804B6" w14:textId="77777777" w:rsidR="00B552DA" w:rsidRPr="00907B3C" w:rsidRDefault="00B552DA" w:rsidP="008A7E29">
      <w:pPr>
        <w:pStyle w:val="ListParagraph"/>
        <w:widowControl w:val="0"/>
        <w:numPr>
          <w:ilvl w:val="0"/>
          <w:numId w:val="32"/>
        </w:numPr>
        <w:autoSpaceDE w:val="0"/>
        <w:autoSpaceDN w:val="0"/>
        <w:adjustRightInd w:val="0"/>
        <w:jc w:val="both"/>
        <w:rPr>
          <w:rFonts w:ascii="Didot" w:hAnsi="Didot" w:cs="Didot"/>
          <w:color w:val="000000"/>
          <w:sz w:val="22"/>
          <w:szCs w:val="22"/>
        </w:rPr>
      </w:pPr>
      <w:r w:rsidRPr="00907B3C">
        <w:rPr>
          <w:rFonts w:ascii="Didot" w:hAnsi="Didot" w:cs="Didot"/>
          <w:color w:val="000000"/>
          <w:sz w:val="22"/>
          <w:szCs w:val="22"/>
        </w:rPr>
        <w:t>In</w:t>
      </w:r>
      <w:r w:rsidR="007F4EDF" w:rsidRPr="00907B3C">
        <w:rPr>
          <w:rFonts w:ascii="Didot" w:hAnsi="Didot" w:cs="Didot"/>
          <w:color w:val="000000"/>
          <w:sz w:val="22"/>
          <w:szCs w:val="22"/>
        </w:rPr>
        <w:t xml:space="preserve"> </w:t>
      </w:r>
      <w:r w:rsidRPr="00907B3C">
        <w:rPr>
          <w:rFonts w:ascii="Didot" w:hAnsi="Didot" w:cs="Didot"/>
          <w:color w:val="000000"/>
          <w:sz w:val="22"/>
          <w:szCs w:val="22"/>
        </w:rPr>
        <w:t>this</w:t>
      </w:r>
      <w:r w:rsidR="007F4EDF" w:rsidRPr="00907B3C">
        <w:rPr>
          <w:rFonts w:ascii="Didot" w:hAnsi="Didot" w:cs="Didot"/>
          <w:color w:val="000000"/>
          <w:sz w:val="22"/>
          <w:szCs w:val="22"/>
        </w:rPr>
        <w:t xml:space="preserve"> </w:t>
      </w:r>
      <w:r w:rsidRPr="00907B3C">
        <w:rPr>
          <w:rFonts w:ascii="Didot" w:hAnsi="Didot" w:cs="Didot"/>
          <w:color w:val="000000"/>
          <w:sz w:val="22"/>
          <w:szCs w:val="22"/>
        </w:rPr>
        <w:t>paper,</w:t>
      </w:r>
      <w:r w:rsidR="007F4EDF" w:rsidRPr="00907B3C">
        <w:rPr>
          <w:rFonts w:ascii="Didot" w:hAnsi="Didot" w:cs="Didot"/>
          <w:color w:val="000000"/>
          <w:sz w:val="22"/>
          <w:szCs w:val="22"/>
        </w:rPr>
        <w:t xml:space="preserve"> </w:t>
      </w:r>
      <w:r w:rsidRPr="00907B3C">
        <w:rPr>
          <w:rFonts w:ascii="Didot" w:hAnsi="Didot" w:cs="Didot"/>
          <w:color w:val="000000"/>
          <w:sz w:val="22"/>
          <w:szCs w:val="22"/>
        </w:rPr>
        <w:t>the</w:t>
      </w:r>
      <w:r w:rsidR="007F4EDF" w:rsidRPr="00907B3C">
        <w:rPr>
          <w:rFonts w:ascii="Didot" w:hAnsi="Didot" w:cs="Didot"/>
          <w:color w:val="000000"/>
          <w:sz w:val="22"/>
          <w:szCs w:val="22"/>
        </w:rPr>
        <w:t xml:space="preserve"> </w:t>
      </w:r>
      <w:r w:rsidRPr="00907B3C">
        <w:rPr>
          <w:rFonts w:ascii="Didot" w:hAnsi="Didot" w:cs="Didot"/>
          <w:color w:val="000000"/>
          <w:sz w:val="22"/>
          <w:szCs w:val="22"/>
        </w:rPr>
        <w:t>word</w:t>
      </w:r>
      <w:r w:rsidR="007F4EDF" w:rsidRPr="00907B3C">
        <w:rPr>
          <w:rFonts w:ascii="Didot" w:hAnsi="Didot" w:cs="Didot"/>
          <w:color w:val="000000"/>
          <w:sz w:val="22"/>
          <w:szCs w:val="22"/>
        </w:rPr>
        <w:t xml:space="preserve"> </w:t>
      </w:r>
      <w:r w:rsidRPr="00907B3C">
        <w:rPr>
          <w:rFonts w:ascii="Didot" w:hAnsi="Didot" w:cs="Didot"/>
          <w:color w:val="000000"/>
          <w:sz w:val="22"/>
          <w:szCs w:val="22"/>
        </w:rPr>
        <w:t>“parent”</w:t>
      </w:r>
      <w:r w:rsidR="007F4EDF" w:rsidRPr="00907B3C">
        <w:rPr>
          <w:rFonts w:ascii="Didot" w:hAnsi="Didot" w:cs="Didot"/>
          <w:color w:val="000000"/>
          <w:sz w:val="22"/>
          <w:szCs w:val="22"/>
        </w:rPr>
        <w:t xml:space="preserve"> </w:t>
      </w:r>
      <w:r w:rsidRPr="00907B3C">
        <w:rPr>
          <w:rFonts w:ascii="Didot" w:hAnsi="Didot" w:cs="Didot"/>
          <w:color w:val="000000"/>
          <w:sz w:val="22"/>
          <w:szCs w:val="22"/>
        </w:rPr>
        <w:t>is</w:t>
      </w:r>
      <w:r w:rsidR="007F4EDF" w:rsidRPr="00907B3C">
        <w:rPr>
          <w:rFonts w:ascii="Didot" w:hAnsi="Didot" w:cs="Didot"/>
          <w:color w:val="000000"/>
          <w:sz w:val="22"/>
          <w:szCs w:val="22"/>
        </w:rPr>
        <w:t xml:space="preserve"> </w:t>
      </w:r>
      <w:r w:rsidRPr="00907B3C">
        <w:rPr>
          <w:rFonts w:ascii="Didot" w:hAnsi="Didot" w:cs="Didot"/>
          <w:color w:val="000000"/>
          <w:sz w:val="22"/>
          <w:szCs w:val="22"/>
        </w:rPr>
        <w:t>used</w:t>
      </w:r>
      <w:r w:rsidR="007F4EDF" w:rsidRPr="00907B3C">
        <w:rPr>
          <w:rFonts w:ascii="Didot" w:hAnsi="Didot" w:cs="Didot"/>
          <w:color w:val="000000"/>
          <w:sz w:val="22"/>
          <w:szCs w:val="22"/>
        </w:rPr>
        <w:t xml:space="preserve"> </w:t>
      </w:r>
      <w:r w:rsidRPr="00907B3C">
        <w:rPr>
          <w:rFonts w:ascii="Didot" w:hAnsi="Didot" w:cs="Didot"/>
          <w:color w:val="000000"/>
          <w:sz w:val="22"/>
          <w:szCs w:val="22"/>
        </w:rPr>
        <w:t>to</w:t>
      </w:r>
      <w:r w:rsidR="007F4EDF" w:rsidRPr="00907B3C">
        <w:rPr>
          <w:rFonts w:ascii="Didot" w:hAnsi="Didot" w:cs="Didot"/>
          <w:color w:val="000000"/>
          <w:sz w:val="22"/>
          <w:szCs w:val="22"/>
        </w:rPr>
        <w:t xml:space="preserve"> </w:t>
      </w:r>
      <w:r w:rsidRPr="00907B3C">
        <w:rPr>
          <w:rFonts w:ascii="Didot" w:hAnsi="Didot" w:cs="Didot"/>
          <w:color w:val="000000"/>
          <w:sz w:val="22"/>
          <w:szCs w:val="22"/>
        </w:rPr>
        <w:t>imply</w:t>
      </w:r>
      <w:r w:rsidR="007F4EDF" w:rsidRPr="00907B3C">
        <w:rPr>
          <w:rFonts w:ascii="Didot" w:hAnsi="Didot" w:cs="Didot"/>
          <w:color w:val="000000"/>
          <w:sz w:val="22"/>
          <w:szCs w:val="22"/>
        </w:rPr>
        <w:t xml:space="preserve"> </w:t>
      </w:r>
      <w:r w:rsidRPr="00907B3C">
        <w:rPr>
          <w:rFonts w:ascii="Didot" w:hAnsi="Didot" w:cs="Didot"/>
          <w:color w:val="000000"/>
          <w:sz w:val="22"/>
          <w:szCs w:val="22"/>
        </w:rPr>
        <w:t>anyone</w:t>
      </w:r>
      <w:r w:rsidR="007F4EDF" w:rsidRPr="00907B3C">
        <w:rPr>
          <w:rFonts w:ascii="Didot" w:hAnsi="Didot" w:cs="Didot"/>
          <w:color w:val="000000"/>
          <w:sz w:val="22"/>
          <w:szCs w:val="22"/>
        </w:rPr>
        <w:t xml:space="preserve"> </w:t>
      </w:r>
      <w:r w:rsidRPr="00907B3C">
        <w:rPr>
          <w:rFonts w:ascii="Didot" w:hAnsi="Didot" w:cs="Didot"/>
          <w:color w:val="000000"/>
          <w:sz w:val="22"/>
          <w:szCs w:val="22"/>
        </w:rPr>
        <w:t>who</w:t>
      </w:r>
      <w:r w:rsidR="007F4EDF" w:rsidRPr="00907B3C">
        <w:rPr>
          <w:rFonts w:ascii="Didot" w:hAnsi="Didot" w:cs="Didot"/>
          <w:color w:val="000000"/>
          <w:sz w:val="22"/>
          <w:szCs w:val="22"/>
        </w:rPr>
        <w:t xml:space="preserve"> </w:t>
      </w:r>
      <w:r w:rsidRPr="00907B3C">
        <w:rPr>
          <w:rFonts w:ascii="Didot" w:hAnsi="Didot" w:cs="Didot"/>
          <w:color w:val="000000"/>
          <w:sz w:val="22"/>
          <w:szCs w:val="22"/>
        </w:rPr>
        <w:t>has</w:t>
      </w:r>
      <w:r w:rsidR="007F4EDF" w:rsidRPr="00907B3C">
        <w:rPr>
          <w:rFonts w:ascii="Didot" w:hAnsi="Didot" w:cs="Didot"/>
          <w:color w:val="000000"/>
          <w:sz w:val="22"/>
          <w:szCs w:val="22"/>
        </w:rPr>
        <w:t xml:space="preserve"> </w:t>
      </w:r>
      <w:r w:rsidRPr="00907B3C">
        <w:rPr>
          <w:rFonts w:ascii="Didot" w:hAnsi="Didot" w:cs="Didot"/>
          <w:color w:val="000000"/>
          <w:sz w:val="22"/>
          <w:szCs w:val="22"/>
        </w:rPr>
        <w:t>a</w:t>
      </w:r>
      <w:r w:rsidR="007F4EDF" w:rsidRPr="00907B3C">
        <w:rPr>
          <w:rFonts w:ascii="Didot" w:hAnsi="Didot" w:cs="Didot"/>
          <w:color w:val="000000"/>
          <w:sz w:val="22"/>
          <w:szCs w:val="22"/>
        </w:rPr>
        <w:t xml:space="preserve"> </w:t>
      </w:r>
      <w:r w:rsidRPr="00907B3C">
        <w:rPr>
          <w:rFonts w:ascii="Didot" w:hAnsi="Didot" w:cs="Didot"/>
          <w:color w:val="000000"/>
          <w:sz w:val="22"/>
          <w:szCs w:val="22"/>
        </w:rPr>
        <w:t>caregiving</w:t>
      </w:r>
      <w:r w:rsidR="007F4EDF" w:rsidRPr="00907B3C">
        <w:rPr>
          <w:rFonts w:ascii="Didot" w:hAnsi="Didot" w:cs="Didot"/>
          <w:color w:val="000000"/>
          <w:sz w:val="22"/>
          <w:szCs w:val="22"/>
        </w:rPr>
        <w:t xml:space="preserve"> </w:t>
      </w:r>
      <w:r w:rsidRPr="00907B3C">
        <w:rPr>
          <w:rFonts w:ascii="Didot" w:hAnsi="Didot" w:cs="Didot"/>
          <w:color w:val="000000"/>
          <w:sz w:val="22"/>
          <w:szCs w:val="22"/>
        </w:rPr>
        <w:t>role</w:t>
      </w:r>
      <w:r w:rsidR="007F4EDF" w:rsidRPr="00907B3C">
        <w:rPr>
          <w:rFonts w:ascii="Didot" w:hAnsi="Didot" w:cs="Didot"/>
          <w:color w:val="000000"/>
          <w:sz w:val="22"/>
          <w:szCs w:val="22"/>
        </w:rPr>
        <w:t xml:space="preserve"> </w:t>
      </w:r>
      <w:r w:rsidRPr="00907B3C">
        <w:rPr>
          <w:rFonts w:ascii="Didot" w:hAnsi="Didot" w:cs="Didot"/>
          <w:color w:val="000000"/>
          <w:sz w:val="22"/>
          <w:szCs w:val="22"/>
        </w:rPr>
        <w:t>with</w:t>
      </w:r>
      <w:r w:rsidR="007F4EDF" w:rsidRPr="00907B3C">
        <w:rPr>
          <w:rFonts w:ascii="Didot" w:hAnsi="Didot" w:cs="Didot"/>
          <w:color w:val="000000"/>
          <w:sz w:val="22"/>
          <w:szCs w:val="22"/>
        </w:rPr>
        <w:t xml:space="preserve"> </w:t>
      </w:r>
      <w:r w:rsidRPr="00907B3C">
        <w:rPr>
          <w:rFonts w:ascii="Didot" w:hAnsi="Didot" w:cs="Didot"/>
          <w:color w:val="000000"/>
          <w:sz w:val="22"/>
          <w:szCs w:val="22"/>
        </w:rPr>
        <w:t>regard</w:t>
      </w:r>
      <w:r w:rsidR="007F4EDF" w:rsidRPr="00907B3C">
        <w:rPr>
          <w:rFonts w:ascii="Didot" w:hAnsi="Didot" w:cs="Didot"/>
          <w:color w:val="000000"/>
          <w:sz w:val="22"/>
          <w:szCs w:val="22"/>
        </w:rPr>
        <w:t xml:space="preserve"> </w:t>
      </w:r>
      <w:r w:rsidRPr="00907B3C">
        <w:rPr>
          <w:rFonts w:ascii="Didot" w:hAnsi="Didot" w:cs="Didot"/>
          <w:color w:val="000000"/>
          <w:sz w:val="22"/>
          <w:szCs w:val="22"/>
        </w:rPr>
        <w:t>to</w:t>
      </w:r>
      <w:r w:rsidR="007F4EDF" w:rsidRPr="00907B3C">
        <w:rPr>
          <w:rFonts w:ascii="Didot" w:hAnsi="Didot" w:cs="Didot"/>
          <w:color w:val="000000"/>
          <w:sz w:val="22"/>
          <w:szCs w:val="22"/>
        </w:rPr>
        <w:t xml:space="preserve"> </w:t>
      </w:r>
      <w:r w:rsidRPr="00907B3C">
        <w:rPr>
          <w:rFonts w:ascii="Didot" w:hAnsi="Didot" w:cs="Didot"/>
          <w:color w:val="000000"/>
          <w:sz w:val="22"/>
          <w:szCs w:val="22"/>
        </w:rPr>
        <w:t>a</w:t>
      </w:r>
      <w:r w:rsidR="007F4EDF" w:rsidRPr="00907B3C">
        <w:rPr>
          <w:rFonts w:ascii="Didot" w:hAnsi="Didot" w:cs="Didot"/>
          <w:color w:val="000000"/>
          <w:sz w:val="22"/>
          <w:szCs w:val="22"/>
        </w:rPr>
        <w:t xml:space="preserve"> </w:t>
      </w:r>
      <w:r w:rsidRPr="00907B3C">
        <w:rPr>
          <w:rFonts w:ascii="Didot" w:hAnsi="Didot" w:cs="Didot"/>
          <w:color w:val="000000"/>
          <w:sz w:val="22"/>
          <w:szCs w:val="22"/>
        </w:rPr>
        <w:t>child.</w:t>
      </w:r>
      <w:r w:rsidR="007F4EDF" w:rsidRPr="00907B3C">
        <w:rPr>
          <w:rFonts w:ascii="Didot" w:hAnsi="Didot" w:cs="Didot"/>
          <w:color w:val="000000"/>
          <w:sz w:val="22"/>
          <w:szCs w:val="22"/>
        </w:rPr>
        <w:t xml:space="preserve">  </w:t>
      </w:r>
      <w:r w:rsidRPr="00907B3C">
        <w:rPr>
          <w:rFonts w:ascii="Didot" w:hAnsi="Didot" w:cs="Didot"/>
          <w:color w:val="000000"/>
          <w:sz w:val="22"/>
          <w:szCs w:val="22"/>
        </w:rPr>
        <w:t>The</w:t>
      </w:r>
      <w:r w:rsidR="007F4EDF" w:rsidRPr="00907B3C">
        <w:rPr>
          <w:rFonts w:ascii="Didot" w:hAnsi="Didot" w:cs="Didot"/>
          <w:color w:val="000000"/>
          <w:sz w:val="22"/>
          <w:szCs w:val="22"/>
        </w:rPr>
        <w:t xml:space="preserve"> </w:t>
      </w:r>
      <w:r w:rsidRPr="00907B3C">
        <w:rPr>
          <w:rFonts w:ascii="Didot" w:hAnsi="Didot" w:cs="Didot"/>
          <w:color w:val="000000"/>
          <w:sz w:val="22"/>
          <w:szCs w:val="22"/>
        </w:rPr>
        <w:t>term</w:t>
      </w:r>
      <w:r w:rsidR="007F4EDF" w:rsidRPr="00907B3C">
        <w:rPr>
          <w:rFonts w:ascii="Didot" w:hAnsi="Didot" w:cs="Didot"/>
          <w:color w:val="000000"/>
          <w:sz w:val="22"/>
          <w:szCs w:val="22"/>
        </w:rPr>
        <w:t xml:space="preserve"> </w:t>
      </w:r>
      <w:r w:rsidRPr="00907B3C">
        <w:rPr>
          <w:rFonts w:ascii="Didot" w:hAnsi="Didot" w:cs="Didot"/>
          <w:color w:val="000000"/>
          <w:sz w:val="22"/>
          <w:szCs w:val="22"/>
        </w:rPr>
        <w:t>thus</w:t>
      </w:r>
      <w:r w:rsidR="007F4EDF" w:rsidRPr="00907B3C">
        <w:rPr>
          <w:rFonts w:ascii="Didot" w:hAnsi="Didot" w:cs="Didot"/>
          <w:color w:val="000000"/>
          <w:sz w:val="22"/>
          <w:szCs w:val="22"/>
        </w:rPr>
        <w:t xml:space="preserve"> </w:t>
      </w:r>
      <w:r w:rsidRPr="00907B3C">
        <w:rPr>
          <w:rFonts w:ascii="Didot" w:hAnsi="Didot" w:cs="Didot"/>
          <w:color w:val="000000"/>
          <w:sz w:val="22"/>
          <w:szCs w:val="22"/>
        </w:rPr>
        <w:t>includes</w:t>
      </w:r>
      <w:r w:rsidR="007F4EDF" w:rsidRPr="00907B3C">
        <w:rPr>
          <w:rFonts w:ascii="Didot" w:hAnsi="Didot" w:cs="Didot"/>
          <w:color w:val="000000"/>
          <w:sz w:val="22"/>
          <w:szCs w:val="22"/>
        </w:rPr>
        <w:t xml:space="preserve"> </w:t>
      </w:r>
      <w:r w:rsidRPr="00907B3C">
        <w:rPr>
          <w:rFonts w:ascii="Didot" w:hAnsi="Didot" w:cs="Didot"/>
          <w:color w:val="000000"/>
          <w:sz w:val="22"/>
          <w:szCs w:val="22"/>
        </w:rPr>
        <w:t>biological,</w:t>
      </w:r>
      <w:r w:rsidR="007F4EDF" w:rsidRPr="00907B3C">
        <w:rPr>
          <w:rFonts w:ascii="Didot" w:hAnsi="Didot" w:cs="Didot"/>
          <w:color w:val="000000"/>
          <w:sz w:val="22"/>
          <w:szCs w:val="22"/>
        </w:rPr>
        <w:t xml:space="preserve"> </w:t>
      </w:r>
      <w:r w:rsidRPr="00907B3C">
        <w:rPr>
          <w:rFonts w:ascii="Didot" w:hAnsi="Didot" w:cs="Didot"/>
          <w:color w:val="000000"/>
          <w:sz w:val="22"/>
          <w:szCs w:val="22"/>
        </w:rPr>
        <w:t>foster</w:t>
      </w:r>
      <w:r w:rsidR="007F4EDF" w:rsidRPr="00907B3C">
        <w:rPr>
          <w:rFonts w:ascii="Didot" w:hAnsi="Didot" w:cs="Didot"/>
          <w:color w:val="000000"/>
          <w:sz w:val="22"/>
          <w:szCs w:val="22"/>
        </w:rPr>
        <w:t xml:space="preserve"> </w:t>
      </w:r>
      <w:r w:rsidRPr="00907B3C">
        <w:rPr>
          <w:rFonts w:ascii="Didot" w:hAnsi="Didot" w:cs="Didot"/>
          <w:color w:val="000000"/>
          <w:sz w:val="22"/>
          <w:szCs w:val="22"/>
        </w:rPr>
        <w:t>and</w:t>
      </w:r>
      <w:r w:rsidR="007F4EDF" w:rsidRPr="00907B3C">
        <w:rPr>
          <w:rFonts w:ascii="Didot" w:hAnsi="Didot" w:cs="Didot"/>
          <w:color w:val="000000"/>
          <w:sz w:val="22"/>
          <w:szCs w:val="22"/>
        </w:rPr>
        <w:t xml:space="preserve"> </w:t>
      </w:r>
      <w:r w:rsidRPr="00907B3C">
        <w:rPr>
          <w:rFonts w:ascii="Didot" w:hAnsi="Didot" w:cs="Didot"/>
          <w:color w:val="000000"/>
          <w:sz w:val="22"/>
          <w:szCs w:val="22"/>
        </w:rPr>
        <w:t>adoptive</w:t>
      </w:r>
      <w:r w:rsidR="007F4EDF" w:rsidRPr="00907B3C">
        <w:rPr>
          <w:rFonts w:ascii="Didot" w:hAnsi="Didot" w:cs="Didot"/>
          <w:color w:val="000000"/>
          <w:sz w:val="22"/>
          <w:szCs w:val="22"/>
        </w:rPr>
        <w:t xml:space="preserve"> </w:t>
      </w:r>
      <w:r w:rsidRPr="00907B3C">
        <w:rPr>
          <w:rFonts w:ascii="Didot" w:hAnsi="Didot" w:cs="Didot"/>
          <w:color w:val="000000"/>
          <w:sz w:val="22"/>
          <w:szCs w:val="22"/>
        </w:rPr>
        <w:t>parents,</w:t>
      </w:r>
      <w:r w:rsidR="007F4EDF" w:rsidRPr="00907B3C">
        <w:rPr>
          <w:rFonts w:ascii="Didot" w:hAnsi="Didot" w:cs="Didot"/>
          <w:color w:val="000000"/>
          <w:sz w:val="22"/>
          <w:szCs w:val="22"/>
        </w:rPr>
        <w:t xml:space="preserve"> </w:t>
      </w:r>
      <w:r w:rsidRPr="00907B3C">
        <w:rPr>
          <w:rFonts w:ascii="Didot" w:hAnsi="Didot" w:cs="Didot"/>
          <w:color w:val="000000"/>
          <w:sz w:val="22"/>
          <w:szCs w:val="22"/>
        </w:rPr>
        <w:t>as</w:t>
      </w:r>
      <w:r w:rsidR="007F4EDF" w:rsidRPr="00907B3C">
        <w:rPr>
          <w:rFonts w:ascii="Didot" w:hAnsi="Didot" w:cs="Didot"/>
          <w:color w:val="000000"/>
          <w:sz w:val="22"/>
          <w:szCs w:val="22"/>
        </w:rPr>
        <w:t xml:space="preserve"> </w:t>
      </w:r>
      <w:r w:rsidRPr="00907B3C">
        <w:rPr>
          <w:rFonts w:ascii="Didot" w:hAnsi="Didot" w:cs="Didot"/>
          <w:color w:val="000000"/>
          <w:sz w:val="22"/>
          <w:szCs w:val="22"/>
        </w:rPr>
        <w:t>well</w:t>
      </w:r>
      <w:r w:rsidR="007F4EDF" w:rsidRPr="00907B3C">
        <w:rPr>
          <w:rFonts w:ascii="Didot" w:hAnsi="Didot" w:cs="Didot"/>
          <w:color w:val="000000"/>
          <w:sz w:val="22"/>
          <w:szCs w:val="22"/>
        </w:rPr>
        <w:t xml:space="preserve"> </w:t>
      </w:r>
      <w:r w:rsidRPr="00907B3C">
        <w:rPr>
          <w:rFonts w:ascii="Didot" w:hAnsi="Didot" w:cs="Didot"/>
          <w:color w:val="000000"/>
          <w:sz w:val="22"/>
          <w:szCs w:val="22"/>
        </w:rPr>
        <w:t>as</w:t>
      </w:r>
      <w:r w:rsidR="007F4EDF" w:rsidRPr="00907B3C">
        <w:rPr>
          <w:rFonts w:ascii="Didot" w:hAnsi="Didot" w:cs="Didot"/>
          <w:color w:val="000000"/>
          <w:sz w:val="22"/>
          <w:szCs w:val="22"/>
        </w:rPr>
        <w:t xml:space="preserve"> </w:t>
      </w:r>
      <w:r w:rsidRPr="00907B3C">
        <w:rPr>
          <w:rFonts w:ascii="Didot" w:hAnsi="Didot" w:cs="Didot"/>
          <w:color w:val="000000"/>
          <w:sz w:val="22"/>
          <w:szCs w:val="22"/>
        </w:rPr>
        <w:t>other</w:t>
      </w:r>
      <w:r w:rsidR="007F4EDF" w:rsidRPr="00907B3C">
        <w:rPr>
          <w:rFonts w:ascii="Didot" w:hAnsi="Didot" w:cs="Didot"/>
          <w:color w:val="000000"/>
          <w:sz w:val="22"/>
          <w:szCs w:val="22"/>
        </w:rPr>
        <w:t xml:space="preserve"> </w:t>
      </w:r>
      <w:r w:rsidRPr="00907B3C">
        <w:rPr>
          <w:rFonts w:ascii="Didot" w:hAnsi="Didot" w:cs="Didot"/>
          <w:color w:val="000000"/>
          <w:sz w:val="22"/>
          <w:szCs w:val="22"/>
        </w:rPr>
        <w:t>adults</w:t>
      </w:r>
      <w:r w:rsidR="007F4EDF" w:rsidRPr="00907B3C">
        <w:rPr>
          <w:rFonts w:ascii="Didot" w:hAnsi="Didot" w:cs="Didot"/>
          <w:color w:val="000000"/>
          <w:sz w:val="22"/>
          <w:szCs w:val="22"/>
        </w:rPr>
        <w:t xml:space="preserve"> </w:t>
      </w:r>
      <w:r w:rsidRPr="00907B3C">
        <w:rPr>
          <w:rFonts w:ascii="Didot" w:hAnsi="Didot" w:cs="Didot"/>
          <w:color w:val="000000"/>
          <w:sz w:val="22"/>
          <w:szCs w:val="22"/>
        </w:rPr>
        <w:t>who</w:t>
      </w:r>
      <w:r w:rsidR="007F4EDF" w:rsidRPr="00907B3C">
        <w:rPr>
          <w:rFonts w:ascii="Didot" w:hAnsi="Didot" w:cs="Didot"/>
          <w:color w:val="000000"/>
          <w:sz w:val="22"/>
          <w:szCs w:val="22"/>
        </w:rPr>
        <w:t xml:space="preserve"> </w:t>
      </w:r>
      <w:r w:rsidRPr="00907B3C">
        <w:rPr>
          <w:rFonts w:ascii="Didot" w:hAnsi="Didot" w:cs="Didot"/>
          <w:color w:val="000000"/>
          <w:sz w:val="22"/>
          <w:szCs w:val="22"/>
        </w:rPr>
        <w:t>have</w:t>
      </w:r>
      <w:r w:rsidR="007F4EDF" w:rsidRPr="00907B3C">
        <w:rPr>
          <w:rFonts w:ascii="Didot" w:hAnsi="Didot" w:cs="Didot"/>
          <w:color w:val="000000"/>
          <w:sz w:val="22"/>
          <w:szCs w:val="22"/>
        </w:rPr>
        <w:t xml:space="preserve"> </w:t>
      </w:r>
      <w:r w:rsidRPr="00907B3C">
        <w:rPr>
          <w:rFonts w:ascii="Didot" w:hAnsi="Didot" w:cs="Didot"/>
          <w:color w:val="000000"/>
          <w:sz w:val="22"/>
          <w:szCs w:val="22"/>
        </w:rPr>
        <w:t>caregiving</w:t>
      </w:r>
      <w:r w:rsidR="007F4EDF" w:rsidRPr="00907B3C">
        <w:rPr>
          <w:rFonts w:ascii="Didot" w:hAnsi="Didot" w:cs="Didot"/>
          <w:color w:val="000000"/>
          <w:sz w:val="22"/>
          <w:szCs w:val="22"/>
        </w:rPr>
        <w:t xml:space="preserve"> </w:t>
      </w:r>
      <w:r w:rsidRPr="00907B3C">
        <w:rPr>
          <w:rFonts w:ascii="Didot" w:hAnsi="Didot" w:cs="Didot"/>
          <w:color w:val="000000"/>
          <w:sz w:val="22"/>
          <w:szCs w:val="22"/>
        </w:rPr>
        <w:t>roles</w:t>
      </w:r>
      <w:r w:rsidR="007F4EDF" w:rsidRPr="00907B3C">
        <w:rPr>
          <w:rFonts w:ascii="Didot" w:hAnsi="Didot" w:cs="Didot"/>
          <w:color w:val="000000"/>
          <w:sz w:val="22"/>
          <w:szCs w:val="22"/>
        </w:rPr>
        <w:t xml:space="preserve"> </w:t>
      </w:r>
      <w:r w:rsidRPr="00907B3C">
        <w:rPr>
          <w:rFonts w:ascii="Didot" w:hAnsi="Didot" w:cs="Didot"/>
          <w:color w:val="000000"/>
          <w:sz w:val="22"/>
          <w:szCs w:val="22"/>
        </w:rPr>
        <w:t>with</w:t>
      </w:r>
      <w:r w:rsidR="007F4EDF" w:rsidRPr="00907B3C">
        <w:rPr>
          <w:rFonts w:ascii="Didot" w:hAnsi="Didot" w:cs="Didot"/>
          <w:color w:val="000000"/>
          <w:sz w:val="22"/>
          <w:szCs w:val="22"/>
        </w:rPr>
        <w:t xml:space="preserve"> </w:t>
      </w:r>
      <w:r w:rsidRPr="00907B3C">
        <w:rPr>
          <w:rFonts w:ascii="Didot" w:hAnsi="Didot" w:cs="Didot"/>
          <w:color w:val="000000"/>
          <w:sz w:val="22"/>
          <w:szCs w:val="22"/>
        </w:rPr>
        <w:t>regard</w:t>
      </w:r>
      <w:r w:rsidR="007F4EDF" w:rsidRPr="00907B3C">
        <w:rPr>
          <w:rFonts w:ascii="Didot" w:hAnsi="Didot" w:cs="Didot"/>
          <w:color w:val="000000"/>
          <w:sz w:val="22"/>
          <w:szCs w:val="22"/>
        </w:rPr>
        <w:t xml:space="preserve"> </w:t>
      </w:r>
      <w:r w:rsidRPr="00907B3C">
        <w:rPr>
          <w:rFonts w:ascii="Didot" w:hAnsi="Didot" w:cs="Didot"/>
          <w:color w:val="000000"/>
          <w:sz w:val="22"/>
          <w:szCs w:val="22"/>
        </w:rPr>
        <w:t>to</w:t>
      </w:r>
      <w:r w:rsidR="007F4EDF" w:rsidRPr="00907B3C">
        <w:rPr>
          <w:rFonts w:ascii="Didot" w:hAnsi="Didot" w:cs="Didot"/>
          <w:color w:val="000000"/>
          <w:sz w:val="22"/>
          <w:szCs w:val="22"/>
        </w:rPr>
        <w:t xml:space="preserve"> </w:t>
      </w:r>
      <w:r w:rsidRPr="00907B3C">
        <w:rPr>
          <w:rFonts w:ascii="Didot" w:hAnsi="Didot" w:cs="Didot"/>
          <w:color w:val="000000"/>
          <w:sz w:val="22"/>
          <w:szCs w:val="22"/>
        </w:rPr>
        <w:t>children.</w:t>
      </w:r>
      <w:r w:rsidR="007F4EDF" w:rsidRPr="00907B3C">
        <w:rPr>
          <w:rFonts w:ascii="Didot" w:hAnsi="Didot" w:cs="Didot"/>
          <w:color w:val="000000"/>
          <w:sz w:val="22"/>
          <w:szCs w:val="22"/>
        </w:rPr>
        <w:t xml:space="preserve"> </w:t>
      </w:r>
    </w:p>
    <w:p w14:paraId="32797B15" w14:textId="77777777" w:rsidR="007A49D4" w:rsidRPr="00907B3C" w:rsidRDefault="007A49D4" w:rsidP="008A7E29">
      <w:pPr>
        <w:widowControl w:val="0"/>
        <w:autoSpaceDE w:val="0"/>
        <w:autoSpaceDN w:val="0"/>
        <w:adjustRightInd w:val="0"/>
        <w:jc w:val="both"/>
        <w:rPr>
          <w:rFonts w:ascii="Didot" w:hAnsi="Didot" w:cs="Didot"/>
          <w:color w:val="000000"/>
          <w:sz w:val="22"/>
          <w:szCs w:val="22"/>
        </w:rPr>
      </w:pPr>
    </w:p>
    <w:p w14:paraId="79739A9C" w14:textId="77777777" w:rsidR="00B552DA" w:rsidRPr="00907B3C" w:rsidRDefault="007F4EDF" w:rsidP="008A7E29">
      <w:pPr>
        <w:pStyle w:val="ListParagraph"/>
        <w:widowControl w:val="0"/>
        <w:numPr>
          <w:ilvl w:val="0"/>
          <w:numId w:val="32"/>
        </w:numPr>
        <w:autoSpaceDE w:val="0"/>
        <w:autoSpaceDN w:val="0"/>
        <w:adjustRightInd w:val="0"/>
        <w:jc w:val="both"/>
        <w:rPr>
          <w:rFonts w:ascii="Didot" w:hAnsi="Didot" w:cs="Didot"/>
          <w:color w:val="000000"/>
          <w:sz w:val="22"/>
          <w:szCs w:val="22"/>
        </w:rPr>
      </w:pPr>
      <w:r w:rsidRPr="00907B3C">
        <w:rPr>
          <w:rFonts w:ascii="Didot" w:hAnsi="Didot" w:cs="Didot"/>
          <w:color w:val="000000"/>
          <w:sz w:val="22"/>
          <w:szCs w:val="22"/>
        </w:rPr>
        <w:lastRenderedPageBreak/>
        <w:t xml:space="preserve"> </w:t>
      </w:r>
      <w:proofErr w:type="gramStart"/>
      <w:r w:rsidR="00B552DA" w:rsidRPr="00907B3C">
        <w:rPr>
          <w:rFonts w:ascii="Didot" w:hAnsi="Didot" w:cs="Didot"/>
          <w:color w:val="000000"/>
          <w:sz w:val="22"/>
          <w:szCs w:val="22"/>
        </w:rPr>
        <w:t>of</w:t>
      </w:r>
      <w:proofErr w:type="gramEnd"/>
      <w:r w:rsidRPr="00907B3C">
        <w:rPr>
          <w:rFonts w:ascii="Didot" w:hAnsi="Didot" w:cs="Didot"/>
          <w:color w:val="000000"/>
          <w:sz w:val="22"/>
          <w:szCs w:val="22"/>
        </w:rPr>
        <w:t xml:space="preserve"> </w:t>
      </w:r>
      <w:r w:rsidR="00B552DA" w:rsidRPr="00907B3C">
        <w:rPr>
          <w:rFonts w:ascii="Didot" w:hAnsi="Didot" w:cs="Didot"/>
          <w:color w:val="000000"/>
          <w:sz w:val="22"/>
          <w:szCs w:val="22"/>
        </w:rPr>
        <w:t>change,</w:t>
      </w:r>
      <w:r w:rsidRPr="00907B3C">
        <w:rPr>
          <w:rFonts w:ascii="Didot" w:hAnsi="Didot" w:cs="Didot"/>
          <w:color w:val="000000"/>
          <w:sz w:val="22"/>
          <w:szCs w:val="22"/>
        </w:rPr>
        <w:t xml:space="preserve"> </w:t>
      </w:r>
      <w:r w:rsidR="00B552DA" w:rsidRPr="00907B3C">
        <w:rPr>
          <w:rFonts w:ascii="Didot" w:hAnsi="Didot" w:cs="Didot"/>
          <w:color w:val="000000"/>
          <w:sz w:val="22"/>
          <w:szCs w:val="22"/>
        </w:rPr>
        <w:t>training</w:t>
      </w:r>
      <w:r w:rsidRPr="00907B3C">
        <w:rPr>
          <w:rFonts w:ascii="Didot" w:hAnsi="Didot" w:cs="Didot"/>
          <w:color w:val="000000"/>
          <w:sz w:val="22"/>
          <w:szCs w:val="22"/>
        </w:rPr>
        <w:t xml:space="preserve"> </w:t>
      </w:r>
      <w:r w:rsidR="00B552DA" w:rsidRPr="00907B3C">
        <w:rPr>
          <w:rFonts w:ascii="Didot" w:hAnsi="Didot" w:cs="Didot"/>
          <w:color w:val="000000"/>
          <w:sz w:val="22"/>
          <w:szCs w:val="22"/>
        </w:rPr>
        <w:t>and</w:t>
      </w:r>
      <w:r w:rsidRPr="00907B3C">
        <w:rPr>
          <w:rFonts w:ascii="Didot" w:hAnsi="Didot" w:cs="Didot"/>
          <w:color w:val="000000"/>
          <w:sz w:val="22"/>
          <w:szCs w:val="22"/>
        </w:rPr>
        <w:t xml:space="preserve"> </w:t>
      </w:r>
      <w:r w:rsidR="00B552DA" w:rsidRPr="00907B3C">
        <w:rPr>
          <w:rFonts w:ascii="Didot" w:hAnsi="Didot" w:cs="Didot"/>
          <w:color w:val="000000"/>
          <w:sz w:val="22"/>
          <w:szCs w:val="22"/>
        </w:rPr>
        <w:t>technical</w:t>
      </w:r>
      <w:r w:rsidRPr="00907B3C">
        <w:rPr>
          <w:rFonts w:ascii="Didot" w:hAnsi="Didot" w:cs="Didot"/>
          <w:color w:val="000000"/>
          <w:sz w:val="22"/>
          <w:szCs w:val="22"/>
        </w:rPr>
        <w:t xml:space="preserve"> </w:t>
      </w:r>
      <w:r w:rsidR="00B552DA" w:rsidRPr="00907B3C">
        <w:rPr>
          <w:rFonts w:ascii="Didot" w:hAnsi="Didot" w:cs="Didot"/>
          <w:color w:val="000000"/>
          <w:sz w:val="22"/>
          <w:szCs w:val="22"/>
        </w:rPr>
        <w:t>support</w:t>
      </w:r>
      <w:r w:rsidRPr="00907B3C">
        <w:rPr>
          <w:rFonts w:ascii="Didot" w:hAnsi="Didot" w:cs="Didot"/>
          <w:color w:val="000000"/>
          <w:sz w:val="22"/>
          <w:szCs w:val="22"/>
        </w:rPr>
        <w:t xml:space="preserve"> </w:t>
      </w:r>
      <w:r w:rsidR="00B552DA" w:rsidRPr="00907B3C">
        <w:rPr>
          <w:rFonts w:ascii="Didot" w:hAnsi="Didot" w:cs="Didot"/>
          <w:color w:val="000000"/>
          <w:sz w:val="22"/>
          <w:szCs w:val="22"/>
        </w:rPr>
        <w:t>is</w:t>
      </w:r>
      <w:r w:rsidRPr="00907B3C">
        <w:rPr>
          <w:rFonts w:ascii="Didot" w:hAnsi="Didot" w:cs="Didot"/>
          <w:color w:val="000000"/>
          <w:sz w:val="22"/>
          <w:szCs w:val="22"/>
        </w:rPr>
        <w:t xml:space="preserve"> </w:t>
      </w:r>
      <w:r w:rsidR="00B552DA" w:rsidRPr="00907B3C">
        <w:rPr>
          <w:rFonts w:ascii="Didot" w:hAnsi="Didot" w:cs="Didot"/>
          <w:color w:val="000000"/>
          <w:sz w:val="22"/>
          <w:szCs w:val="22"/>
        </w:rPr>
        <w:t>available,</w:t>
      </w:r>
      <w:r w:rsidRPr="00907B3C">
        <w:rPr>
          <w:rFonts w:ascii="Didot" w:hAnsi="Didot" w:cs="Didot"/>
          <w:color w:val="000000"/>
          <w:sz w:val="22"/>
          <w:szCs w:val="22"/>
        </w:rPr>
        <w:t xml:space="preserve"> </w:t>
      </w:r>
      <w:r w:rsidR="00B552DA" w:rsidRPr="00907B3C">
        <w:rPr>
          <w:rFonts w:ascii="Didot" w:hAnsi="Didot" w:cs="Didot"/>
          <w:color w:val="000000"/>
          <w:sz w:val="22"/>
          <w:szCs w:val="22"/>
        </w:rPr>
        <w:t>there</w:t>
      </w:r>
      <w:r w:rsidRPr="00907B3C">
        <w:rPr>
          <w:rFonts w:ascii="Didot" w:hAnsi="Didot" w:cs="Didot"/>
          <w:color w:val="000000"/>
          <w:sz w:val="22"/>
          <w:szCs w:val="22"/>
        </w:rPr>
        <w:t xml:space="preserve"> </w:t>
      </w:r>
      <w:r w:rsidR="00B552DA" w:rsidRPr="00907B3C">
        <w:rPr>
          <w:rFonts w:ascii="Didot" w:hAnsi="Didot" w:cs="Didot"/>
          <w:color w:val="000000"/>
          <w:sz w:val="22"/>
          <w:szCs w:val="22"/>
        </w:rPr>
        <w:t>is</w:t>
      </w:r>
      <w:r w:rsidRPr="00907B3C">
        <w:rPr>
          <w:rFonts w:ascii="Didot" w:hAnsi="Didot" w:cs="Didot"/>
          <w:color w:val="000000"/>
          <w:sz w:val="22"/>
          <w:szCs w:val="22"/>
        </w:rPr>
        <w:t xml:space="preserve"> </w:t>
      </w:r>
      <w:r w:rsidR="00B552DA" w:rsidRPr="00907B3C">
        <w:rPr>
          <w:rFonts w:ascii="Didot" w:hAnsi="Didot" w:cs="Didot"/>
          <w:color w:val="000000"/>
          <w:sz w:val="22"/>
          <w:szCs w:val="22"/>
        </w:rPr>
        <w:t>an</w:t>
      </w:r>
      <w:r w:rsidRPr="00907B3C">
        <w:rPr>
          <w:rFonts w:ascii="Didot" w:hAnsi="Didot" w:cs="Didot"/>
          <w:color w:val="000000"/>
          <w:sz w:val="22"/>
          <w:szCs w:val="22"/>
        </w:rPr>
        <w:t xml:space="preserve"> </w:t>
      </w:r>
      <w:r w:rsidR="00B552DA" w:rsidRPr="00907B3C">
        <w:rPr>
          <w:rFonts w:ascii="Didot" w:hAnsi="Didot" w:cs="Didot"/>
          <w:color w:val="000000"/>
          <w:sz w:val="22"/>
          <w:szCs w:val="22"/>
        </w:rPr>
        <w:t>available</w:t>
      </w:r>
      <w:r w:rsidRPr="00907B3C">
        <w:rPr>
          <w:rFonts w:ascii="Didot" w:hAnsi="Didot" w:cs="Didot"/>
          <w:color w:val="000000"/>
          <w:sz w:val="22"/>
          <w:szCs w:val="22"/>
        </w:rPr>
        <w:t xml:space="preserve"> </w:t>
      </w:r>
      <w:r w:rsidR="00B552DA" w:rsidRPr="00907B3C">
        <w:rPr>
          <w:rFonts w:ascii="Didot" w:hAnsi="Didot" w:cs="Didot"/>
          <w:color w:val="000000"/>
          <w:sz w:val="22"/>
          <w:szCs w:val="22"/>
        </w:rPr>
        <w:t>workforce,</w:t>
      </w:r>
      <w:r w:rsidRPr="00907B3C">
        <w:rPr>
          <w:rFonts w:ascii="Didot" w:hAnsi="Didot" w:cs="Didot"/>
          <w:color w:val="000000"/>
          <w:sz w:val="22"/>
          <w:szCs w:val="22"/>
        </w:rPr>
        <w:t xml:space="preserve"> </w:t>
      </w:r>
      <w:r w:rsidR="00B552DA" w:rsidRPr="00907B3C">
        <w:rPr>
          <w:rFonts w:ascii="Didot" w:hAnsi="Didot" w:cs="Didot"/>
          <w:color w:val="000000"/>
          <w:sz w:val="22"/>
          <w:szCs w:val="22"/>
        </w:rPr>
        <w:t>it</w:t>
      </w:r>
      <w:r w:rsidRPr="00907B3C">
        <w:rPr>
          <w:rFonts w:ascii="Didot" w:hAnsi="Didot" w:cs="Didot"/>
          <w:color w:val="000000"/>
          <w:sz w:val="22"/>
          <w:szCs w:val="22"/>
        </w:rPr>
        <w:t xml:space="preserve"> </w:t>
      </w:r>
      <w:r w:rsidR="00B552DA" w:rsidRPr="00907B3C">
        <w:rPr>
          <w:rFonts w:ascii="Didot" w:hAnsi="Didot" w:cs="Didot"/>
          <w:color w:val="000000"/>
          <w:sz w:val="22"/>
          <w:szCs w:val="22"/>
        </w:rPr>
        <w:t>has</w:t>
      </w:r>
      <w:r w:rsidRPr="00907B3C">
        <w:rPr>
          <w:rFonts w:ascii="Didot" w:hAnsi="Didot" w:cs="Didot"/>
          <w:color w:val="000000"/>
          <w:sz w:val="22"/>
          <w:szCs w:val="22"/>
        </w:rPr>
        <w:t xml:space="preserve"> </w:t>
      </w:r>
      <w:r w:rsidR="00B552DA" w:rsidRPr="00907B3C">
        <w:rPr>
          <w:rFonts w:ascii="Didot" w:hAnsi="Didot" w:cs="Didot"/>
          <w:color w:val="000000"/>
          <w:sz w:val="22"/>
          <w:szCs w:val="22"/>
        </w:rPr>
        <w:t>been</w:t>
      </w:r>
      <w:r w:rsidRPr="00907B3C">
        <w:rPr>
          <w:rFonts w:ascii="Didot" w:hAnsi="Didot" w:cs="Didot"/>
          <w:color w:val="000000"/>
          <w:sz w:val="22"/>
          <w:szCs w:val="22"/>
        </w:rPr>
        <w:t xml:space="preserve"> </w:t>
      </w:r>
      <w:r w:rsidR="00B552DA" w:rsidRPr="00907B3C">
        <w:rPr>
          <w:rFonts w:ascii="Didot" w:hAnsi="Didot" w:cs="Didot"/>
          <w:color w:val="000000"/>
          <w:sz w:val="22"/>
          <w:szCs w:val="22"/>
        </w:rPr>
        <w:t>costed,</w:t>
      </w:r>
      <w:r w:rsidRPr="00907B3C">
        <w:rPr>
          <w:rFonts w:ascii="Didot" w:hAnsi="Didot" w:cs="Didot"/>
          <w:color w:val="000000"/>
          <w:sz w:val="22"/>
          <w:szCs w:val="22"/>
        </w:rPr>
        <w:t xml:space="preserve"> </w:t>
      </w:r>
      <w:r w:rsidR="00B552DA" w:rsidRPr="00907B3C">
        <w:rPr>
          <w:rFonts w:ascii="Didot" w:hAnsi="Didot" w:cs="Didot"/>
          <w:color w:val="000000"/>
          <w:sz w:val="22"/>
          <w:szCs w:val="22"/>
        </w:rPr>
        <w:t>and</w:t>
      </w:r>
      <w:r w:rsidRPr="00907B3C">
        <w:rPr>
          <w:rFonts w:ascii="Didot" w:hAnsi="Didot" w:cs="Didot"/>
          <w:color w:val="000000"/>
          <w:sz w:val="22"/>
          <w:szCs w:val="22"/>
        </w:rPr>
        <w:t xml:space="preserve"> </w:t>
      </w:r>
      <w:r w:rsidR="00B552DA" w:rsidRPr="00907B3C">
        <w:rPr>
          <w:rFonts w:ascii="Didot" w:hAnsi="Didot" w:cs="Didot"/>
          <w:color w:val="000000"/>
          <w:sz w:val="22"/>
          <w:szCs w:val="22"/>
        </w:rPr>
        <w:t>monitoring</w:t>
      </w:r>
      <w:r w:rsidRPr="00907B3C">
        <w:rPr>
          <w:rFonts w:ascii="Didot" w:hAnsi="Didot" w:cs="Didot"/>
          <w:color w:val="000000"/>
          <w:sz w:val="22"/>
          <w:szCs w:val="22"/>
        </w:rPr>
        <w:t xml:space="preserve"> </w:t>
      </w:r>
      <w:r w:rsidR="00B552DA" w:rsidRPr="00907B3C">
        <w:rPr>
          <w:rFonts w:ascii="Didot" w:hAnsi="Didot" w:cs="Didot"/>
          <w:color w:val="000000"/>
          <w:sz w:val="22"/>
          <w:szCs w:val="22"/>
        </w:rPr>
        <w:t>and</w:t>
      </w:r>
      <w:r w:rsidRPr="00907B3C">
        <w:rPr>
          <w:rFonts w:ascii="Didot" w:hAnsi="Didot" w:cs="Didot"/>
          <w:color w:val="000000"/>
          <w:sz w:val="22"/>
          <w:szCs w:val="22"/>
        </w:rPr>
        <w:t xml:space="preserve"> </w:t>
      </w:r>
      <w:r w:rsidR="00B552DA" w:rsidRPr="00907B3C">
        <w:rPr>
          <w:rFonts w:ascii="Didot" w:hAnsi="Didot" w:cs="Didot"/>
          <w:color w:val="000000"/>
          <w:sz w:val="22"/>
          <w:szCs w:val="22"/>
        </w:rPr>
        <w:t>evaluation</w:t>
      </w:r>
      <w:r w:rsidRPr="00907B3C">
        <w:rPr>
          <w:rFonts w:ascii="Didot" w:hAnsi="Didot" w:cs="Didot"/>
          <w:color w:val="000000"/>
          <w:sz w:val="22"/>
          <w:szCs w:val="22"/>
        </w:rPr>
        <w:t xml:space="preserve"> </w:t>
      </w:r>
      <w:r w:rsidR="00B552DA" w:rsidRPr="00907B3C">
        <w:rPr>
          <w:rFonts w:ascii="Didot" w:hAnsi="Didot" w:cs="Didot"/>
          <w:color w:val="000000"/>
          <w:sz w:val="22"/>
          <w:szCs w:val="22"/>
        </w:rPr>
        <w:t>is</w:t>
      </w:r>
      <w:r w:rsidRPr="00907B3C">
        <w:rPr>
          <w:rFonts w:ascii="Didot" w:hAnsi="Didot" w:cs="Didot"/>
          <w:color w:val="000000"/>
          <w:sz w:val="22"/>
          <w:szCs w:val="22"/>
        </w:rPr>
        <w:t xml:space="preserve"> </w:t>
      </w:r>
      <w:r w:rsidR="00B552DA" w:rsidRPr="00907B3C">
        <w:rPr>
          <w:rFonts w:ascii="Didot" w:hAnsi="Didot" w:cs="Didot"/>
          <w:color w:val="000000"/>
          <w:sz w:val="22"/>
          <w:szCs w:val="22"/>
        </w:rPr>
        <w:t>possible</w:t>
      </w:r>
      <w:r w:rsidRPr="00907B3C">
        <w:rPr>
          <w:rFonts w:ascii="Didot" w:hAnsi="Didot" w:cs="Didot"/>
          <w:color w:val="000000"/>
          <w:sz w:val="22"/>
          <w:szCs w:val="22"/>
        </w:rPr>
        <w:t xml:space="preserve"> </w:t>
      </w:r>
      <w:r w:rsidR="00B552DA" w:rsidRPr="00907B3C">
        <w:rPr>
          <w:rFonts w:ascii="Didot" w:hAnsi="Didot" w:cs="Didot"/>
          <w:color w:val="000000"/>
          <w:sz w:val="22"/>
          <w:szCs w:val="22"/>
        </w:rPr>
        <w:t>(particularly</w:t>
      </w:r>
      <w:r w:rsidRPr="00907B3C">
        <w:rPr>
          <w:rFonts w:ascii="Didot" w:hAnsi="Didot" w:cs="Didot"/>
          <w:color w:val="000000"/>
          <w:sz w:val="22"/>
          <w:szCs w:val="22"/>
        </w:rPr>
        <w:t xml:space="preserve"> </w:t>
      </w:r>
      <w:r w:rsidR="00B552DA" w:rsidRPr="00907B3C">
        <w:rPr>
          <w:rFonts w:ascii="Didot" w:hAnsi="Didot" w:cs="Didot"/>
          <w:color w:val="000000"/>
          <w:sz w:val="22"/>
          <w:szCs w:val="22"/>
        </w:rPr>
        <w:t>to</w:t>
      </w:r>
      <w:r w:rsidRPr="00907B3C">
        <w:rPr>
          <w:rFonts w:ascii="Didot" w:hAnsi="Didot" w:cs="Didot"/>
          <w:color w:val="000000"/>
          <w:sz w:val="22"/>
          <w:szCs w:val="22"/>
        </w:rPr>
        <w:t xml:space="preserve"> </w:t>
      </w:r>
      <w:r w:rsidR="00B552DA" w:rsidRPr="00907B3C">
        <w:rPr>
          <w:rFonts w:ascii="Didot" w:hAnsi="Didot" w:cs="Didot"/>
          <w:color w:val="000000"/>
          <w:sz w:val="22"/>
          <w:szCs w:val="22"/>
        </w:rPr>
        <w:t>ensure</w:t>
      </w:r>
      <w:r w:rsidRPr="00907B3C">
        <w:rPr>
          <w:rFonts w:ascii="Didot" w:hAnsi="Didot" w:cs="Didot"/>
          <w:color w:val="000000"/>
          <w:sz w:val="22"/>
          <w:szCs w:val="22"/>
        </w:rPr>
        <w:t xml:space="preserve"> </w:t>
      </w:r>
      <w:r w:rsidR="00B552DA" w:rsidRPr="00907B3C">
        <w:rPr>
          <w:rFonts w:ascii="Didot" w:hAnsi="Didot" w:cs="Didot"/>
          <w:color w:val="000000"/>
          <w:sz w:val="22"/>
          <w:szCs w:val="22"/>
        </w:rPr>
        <w:t>fidelity</w:t>
      </w:r>
      <w:r w:rsidRPr="00907B3C">
        <w:rPr>
          <w:rFonts w:ascii="Didot" w:hAnsi="Didot" w:cs="Didot"/>
          <w:color w:val="000000"/>
          <w:sz w:val="22"/>
          <w:szCs w:val="22"/>
        </w:rPr>
        <w:t xml:space="preserve"> </w:t>
      </w:r>
      <w:r w:rsidR="00B552DA" w:rsidRPr="00907B3C">
        <w:rPr>
          <w:rFonts w:ascii="Didot" w:hAnsi="Didot" w:cs="Didot"/>
          <w:color w:val="000000"/>
          <w:sz w:val="22"/>
          <w:szCs w:val="22"/>
        </w:rPr>
        <w:t>of</w:t>
      </w:r>
      <w:r w:rsidRPr="00907B3C">
        <w:rPr>
          <w:rFonts w:ascii="Didot" w:hAnsi="Didot" w:cs="Didot"/>
          <w:color w:val="000000"/>
          <w:sz w:val="22"/>
          <w:szCs w:val="22"/>
        </w:rPr>
        <w:t xml:space="preserve"> </w:t>
      </w:r>
      <w:r w:rsidR="00B552DA" w:rsidRPr="00907B3C">
        <w:rPr>
          <w:rFonts w:ascii="Didot" w:hAnsi="Didot" w:cs="Didot"/>
          <w:color w:val="000000"/>
          <w:sz w:val="22"/>
          <w:szCs w:val="22"/>
        </w:rPr>
        <w:t>implementation).</w:t>
      </w:r>
      <w:r w:rsidRPr="00907B3C">
        <w:rPr>
          <w:rFonts w:ascii="Didot" w:hAnsi="Didot" w:cs="Didot"/>
          <w:color w:val="000000"/>
          <w:sz w:val="22"/>
          <w:szCs w:val="22"/>
        </w:rPr>
        <w:t xml:space="preserve"> </w:t>
      </w:r>
    </w:p>
    <w:p w14:paraId="62FF4589" w14:textId="77777777" w:rsidR="007A49D4" w:rsidRPr="00907B3C" w:rsidRDefault="007A49D4" w:rsidP="008A7E29">
      <w:pPr>
        <w:widowControl w:val="0"/>
        <w:autoSpaceDE w:val="0"/>
        <w:autoSpaceDN w:val="0"/>
        <w:adjustRightInd w:val="0"/>
        <w:jc w:val="both"/>
        <w:rPr>
          <w:rFonts w:ascii="Didot" w:hAnsi="Didot" w:cs="Didot"/>
          <w:color w:val="000000"/>
          <w:sz w:val="22"/>
          <w:szCs w:val="22"/>
          <w:lang w:val="en-US"/>
        </w:rPr>
      </w:pPr>
    </w:p>
    <w:p w14:paraId="761B8424" w14:textId="77777777" w:rsidR="00B552DA" w:rsidRPr="00907B3C" w:rsidRDefault="007F4EDF"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 </w:t>
      </w:r>
    </w:p>
    <w:p w14:paraId="18A93E16"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Using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Western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Cape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Province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South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Africa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example,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paper</w:t>
      </w:r>
      <w:r w:rsidR="007F4EDF" w:rsidRPr="00907B3C">
        <w:rPr>
          <w:rFonts w:ascii="Didot" w:hAnsi="Didot" w:cs="Didot"/>
          <w:color w:val="000000"/>
          <w:sz w:val="22"/>
          <w:szCs w:val="22"/>
          <w:lang w:val="en-US"/>
        </w:rPr>
        <w:t xml:space="preserve"> </w:t>
      </w:r>
    </w:p>
    <w:p w14:paraId="2FBF7FC6"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describes</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process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planning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take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p>
    <w:p w14:paraId="6095A818"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context</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middle </w:t>
      </w:r>
      <w:r w:rsidRPr="00907B3C">
        <w:rPr>
          <w:rFonts w:ascii="Didot" w:hAnsi="Didot" w:cs="Didot"/>
          <w:color w:val="000000"/>
          <w:sz w:val="22"/>
          <w:szCs w:val="22"/>
          <w:lang w:val="en-US"/>
        </w:rPr>
        <w:t>income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country.</w:t>
      </w:r>
      <w:r w:rsidR="007F4EDF" w:rsidRPr="00907B3C">
        <w:rPr>
          <w:rFonts w:ascii="Didot" w:hAnsi="Didot" w:cs="Didot"/>
          <w:color w:val="000000"/>
          <w:sz w:val="22"/>
          <w:szCs w:val="22"/>
          <w:lang w:val="en-US"/>
        </w:rPr>
        <w:t xml:space="preserve"> </w:t>
      </w:r>
    </w:p>
    <w:p w14:paraId="685E8066" w14:textId="77777777" w:rsidR="007A49D4" w:rsidRPr="00907B3C" w:rsidRDefault="007A49D4" w:rsidP="008A7E29">
      <w:pPr>
        <w:widowControl w:val="0"/>
        <w:autoSpaceDE w:val="0"/>
        <w:autoSpaceDN w:val="0"/>
        <w:adjustRightInd w:val="0"/>
        <w:jc w:val="both"/>
        <w:rPr>
          <w:rFonts w:ascii="Didot" w:hAnsi="Didot" w:cs="Didot"/>
          <w:color w:val="000000"/>
          <w:sz w:val="22"/>
          <w:szCs w:val="22"/>
          <w:lang w:val="en-US"/>
        </w:rPr>
      </w:pPr>
    </w:p>
    <w:p w14:paraId="0C70C78A"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Methods</w:t>
      </w:r>
      <w:r w:rsidR="007F4EDF" w:rsidRPr="00907B3C">
        <w:rPr>
          <w:rFonts w:ascii="Didot" w:hAnsi="Didot" w:cs="Didot"/>
          <w:b/>
          <w:sz w:val="22"/>
          <w:szCs w:val="22"/>
          <w:lang w:val="en-US"/>
        </w:rPr>
        <w:t xml:space="preserve"> </w:t>
      </w:r>
    </w:p>
    <w:p w14:paraId="5DA39D9F" w14:textId="77777777" w:rsidR="00F11129" w:rsidRPr="00907B3C" w:rsidRDefault="00F11129" w:rsidP="008A7E29">
      <w:pPr>
        <w:widowControl w:val="0"/>
        <w:autoSpaceDE w:val="0"/>
        <w:autoSpaceDN w:val="0"/>
        <w:adjustRightInd w:val="0"/>
        <w:jc w:val="both"/>
        <w:rPr>
          <w:rFonts w:ascii="Didot" w:hAnsi="Didot" w:cs="Didot"/>
          <w:b/>
          <w:sz w:val="22"/>
          <w:szCs w:val="22"/>
          <w:lang w:val="en-US"/>
        </w:rPr>
      </w:pPr>
    </w:p>
    <w:p w14:paraId="68E2C835"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Policy</w:t>
      </w:r>
      <w:r w:rsidR="007F4EDF" w:rsidRPr="00907B3C">
        <w:rPr>
          <w:rFonts w:ascii="Didot" w:hAnsi="Didot" w:cs="Didot"/>
          <w:b/>
          <w:sz w:val="22"/>
          <w:szCs w:val="22"/>
          <w:lang w:val="en-US"/>
        </w:rPr>
        <w:t xml:space="preserve"> </w:t>
      </w:r>
      <w:r w:rsidRPr="00907B3C">
        <w:rPr>
          <w:rFonts w:ascii="Didot" w:hAnsi="Didot" w:cs="Didot"/>
          <w:b/>
          <w:sz w:val="22"/>
          <w:szCs w:val="22"/>
          <w:lang w:val="en-US"/>
        </w:rPr>
        <w:t>review</w:t>
      </w:r>
      <w:r w:rsidR="007F4EDF" w:rsidRPr="00907B3C">
        <w:rPr>
          <w:rFonts w:ascii="Didot" w:hAnsi="Didot" w:cs="Didot"/>
          <w:b/>
          <w:sz w:val="22"/>
          <w:szCs w:val="22"/>
          <w:lang w:val="en-US"/>
        </w:rPr>
        <w:t xml:space="preserve"> </w:t>
      </w:r>
    </w:p>
    <w:p w14:paraId="5F278539" w14:textId="77777777" w:rsidR="007A49D4" w:rsidRPr="00907B3C" w:rsidRDefault="007A49D4" w:rsidP="008A7E29">
      <w:pPr>
        <w:widowControl w:val="0"/>
        <w:autoSpaceDE w:val="0"/>
        <w:autoSpaceDN w:val="0"/>
        <w:adjustRightInd w:val="0"/>
        <w:jc w:val="both"/>
        <w:rPr>
          <w:rFonts w:ascii="Didot" w:hAnsi="Didot" w:cs="Didot"/>
          <w:b/>
          <w:sz w:val="22"/>
          <w:szCs w:val="22"/>
          <w:lang w:val="en-US"/>
        </w:rPr>
      </w:pPr>
    </w:p>
    <w:p w14:paraId="0A2ED219"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First,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review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conducted,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order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understand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environment.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demonstrated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coalescence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both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national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provincial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pointed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importance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support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p>
    <w:p w14:paraId="413EBC42"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preventing</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preventing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maltreatment,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improving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children’s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outcomes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coalescence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provided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critical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window</w:t>
      </w:r>
      <w:r w:rsidR="007F4EDF" w:rsidRPr="00907B3C">
        <w:rPr>
          <w:rFonts w:ascii="Didot" w:hAnsi="Didot" w:cs="Didot"/>
          <w:color w:val="000000"/>
          <w:sz w:val="22"/>
          <w:szCs w:val="22"/>
          <w:lang w:val="en-US"/>
        </w:rPr>
        <w:t xml:space="preserve"> </w:t>
      </w:r>
    </w:p>
    <w:p w14:paraId="1EC90C24"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(Shiffman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Smith,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2007)</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decisionTmakers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amenable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idea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taking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window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also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evident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members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Western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Cape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Provincial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Government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asked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authors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assist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developing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plan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taking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request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specifically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assist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meeting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target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specified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new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Western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Cape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Youth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Development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Strategy: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reach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100,000</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families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support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over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5</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years,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target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require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massive</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scale </w:t>
      </w:r>
      <w:r w:rsidRPr="00907B3C">
        <w:rPr>
          <w:rFonts w:ascii="Didot" w:hAnsi="Didot" w:cs="Didot"/>
          <w:color w:val="000000"/>
          <w:sz w:val="22"/>
          <w:szCs w:val="22"/>
          <w:lang w:val="en-US"/>
        </w:rPr>
        <w:t>up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existing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province.</w:t>
      </w:r>
      <w:r w:rsidR="007F4EDF" w:rsidRPr="00907B3C">
        <w:rPr>
          <w:rFonts w:ascii="Didot" w:hAnsi="Didot" w:cs="Didot"/>
          <w:color w:val="000000"/>
          <w:sz w:val="22"/>
          <w:szCs w:val="22"/>
          <w:lang w:val="en-US"/>
        </w:rPr>
        <w:t xml:space="preserve"> </w:t>
      </w:r>
    </w:p>
    <w:p w14:paraId="21E38497" w14:textId="77777777" w:rsidR="007A49D4" w:rsidRPr="00907B3C" w:rsidRDefault="007A49D4" w:rsidP="008A7E29">
      <w:pPr>
        <w:widowControl w:val="0"/>
        <w:autoSpaceDE w:val="0"/>
        <w:autoSpaceDN w:val="0"/>
        <w:adjustRightInd w:val="0"/>
        <w:jc w:val="both"/>
        <w:rPr>
          <w:rFonts w:ascii="Didot" w:hAnsi="Didot" w:cs="Didot"/>
          <w:color w:val="000000"/>
          <w:sz w:val="22"/>
          <w:szCs w:val="22"/>
          <w:lang w:val="en-US"/>
        </w:rPr>
      </w:pPr>
    </w:p>
    <w:p w14:paraId="30626195"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Development</w:t>
      </w:r>
      <w:r w:rsidR="007F4EDF" w:rsidRPr="00907B3C">
        <w:rPr>
          <w:rFonts w:ascii="Didot" w:hAnsi="Didot" w:cs="Didot"/>
          <w:b/>
          <w:sz w:val="22"/>
          <w:szCs w:val="22"/>
          <w:lang w:val="en-US"/>
        </w:rPr>
        <w:t xml:space="preserve"> </w:t>
      </w:r>
      <w:r w:rsidRPr="00907B3C">
        <w:rPr>
          <w:rFonts w:ascii="Didot" w:hAnsi="Didot" w:cs="Didot"/>
          <w:b/>
          <w:sz w:val="22"/>
          <w:szCs w:val="22"/>
          <w:lang w:val="en-US"/>
        </w:rPr>
        <w:t>of</w:t>
      </w:r>
      <w:r w:rsidR="007F4EDF" w:rsidRPr="00907B3C">
        <w:rPr>
          <w:rFonts w:ascii="Didot" w:hAnsi="Didot" w:cs="Didot"/>
          <w:b/>
          <w:sz w:val="22"/>
          <w:szCs w:val="22"/>
          <w:lang w:val="en-US"/>
        </w:rPr>
        <w:t xml:space="preserve"> </w:t>
      </w:r>
      <w:r w:rsidRPr="00907B3C">
        <w:rPr>
          <w:rFonts w:ascii="Didot" w:hAnsi="Didot" w:cs="Didot"/>
          <w:b/>
          <w:sz w:val="22"/>
          <w:szCs w:val="22"/>
          <w:lang w:val="en-US"/>
        </w:rPr>
        <w:t>a</w:t>
      </w:r>
      <w:r w:rsidR="007F4EDF" w:rsidRPr="00907B3C">
        <w:rPr>
          <w:rFonts w:ascii="Didot" w:hAnsi="Didot" w:cs="Didot"/>
          <w:b/>
          <w:sz w:val="22"/>
          <w:szCs w:val="22"/>
          <w:lang w:val="en-US"/>
        </w:rPr>
        <w:t xml:space="preserve"> </w:t>
      </w:r>
      <w:r w:rsidRPr="00907B3C">
        <w:rPr>
          <w:rFonts w:ascii="Didot" w:hAnsi="Didot" w:cs="Didot"/>
          <w:b/>
          <w:sz w:val="22"/>
          <w:szCs w:val="22"/>
          <w:lang w:val="en-US"/>
        </w:rPr>
        <w:t>theory</w:t>
      </w:r>
      <w:r w:rsidR="007F4EDF" w:rsidRPr="00907B3C">
        <w:rPr>
          <w:rFonts w:ascii="Didot" w:hAnsi="Didot" w:cs="Didot"/>
          <w:b/>
          <w:sz w:val="22"/>
          <w:szCs w:val="22"/>
          <w:lang w:val="en-US"/>
        </w:rPr>
        <w:t xml:space="preserve"> </w:t>
      </w:r>
      <w:r w:rsidRPr="00907B3C">
        <w:rPr>
          <w:rFonts w:ascii="Didot" w:hAnsi="Didot" w:cs="Didot"/>
          <w:b/>
          <w:sz w:val="22"/>
          <w:szCs w:val="22"/>
          <w:lang w:val="en-US"/>
        </w:rPr>
        <w:t>of</w:t>
      </w:r>
      <w:r w:rsidR="007F4EDF" w:rsidRPr="00907B3C">
        <w:rPr>
          <w:rFonts w:ascii="Didot" w:hAnsi="Didot" w:cs="Didot"/>
          <w:b/>
          <w:sz w:val="22"/>
          <w:szCs w:val="22"/>
          <w:lang w:val="en-US"/>
        </w:rPr>
        <w:t xml:space="preserve"> </w:t>
      </w:r>
      <w:r w:rsidRPr="00907B3C">
        <w:rPr>
          <w:rFonts w:ascii="Didot" w:hAnsi="Didot" w:cs="Didot"/>
          <w:b/>
          <w:sz w:val="22"/>
          <w:szCs w:val="22"/>
          <w:lang w:val="en-US"/>
        </w:rPr>
        <w:t>change</w:t>
      </w:r>
      <w:r w:rsidR="007F4EDF" w:rsidRPr="00907B3C">
        <w:rPr>
          <w:rFonts w:ascii="Didot" w:hAnsi="Didot" w:cs="Didot"/>
          <w:b/>
          <w:sz w:val="22"/>
          <w:szCs w:val="22"/>
          <w:lang w:val="en-US"/>
        </w:rPr>
        <w:t xml:space="preserve"> </w:t>
      </w:r>
    </w:p>
    <w:p w14:paraId="49466AF8" w14:textId="77777777" w:rsidR="007A49D4" w:rsidRPr="00907B3C" w:rsidRDefault="007A49D4" w:rsidP="008A7E29">
      <w:pPr>
        <w:widowControl w:val="0"/>
        <w:autoSpaceDE w:val="0"/>
        <w:autoSpaceDN w:val="0"/>
        <w:adjustRightInd w:val="0"/>
        <w:jc w:val="both"/>
        <w:rPr>
          <w:rFonts w:ascii="Didot" w:hAnsi="Didot" w:cs="Didot"/>
          <w:b/>
          <w:sz w:val="22"/>
          <w:szCs w:val="22"/>
          <w:lang w:val="en-US"/>
        </w:rPr>
      </w:pPr>
    </w:p>
    <w:p w14:paraId="2D827DC4"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theory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change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lays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out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initiative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might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achieve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desired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effect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(Birckmayer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Weiss,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2000),</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used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complex</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initiatives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improving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mental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delivery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(Breuer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2014).</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instance,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theory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change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considered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following:</w:t>
      </w:r>
      <w:r w:rsidR="007F4EDF" w:rsidRPr="00907B3C">
        <w:rPr>
          <w:rFonts w:ascii="Didot" w:hAnsi="Didot" w:cs="Didot"/>
          <w:color w:val="000000"/>
          <w:sz w:val="22"/>
          <w:szCs w:val="22"/>
          <w:lang w:val="en-US"/>
        </w:rPr>
        <w:t xml:space="preserve"> </w:t>
      </w:r>
    </w:p>
    <w:p w14:paraId="021FA199"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1. Critical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assumptions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instance,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only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evidence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effect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taken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p>
    <w:p w14:paraId="12871272"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2. Principles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selection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instance,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recommendations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about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build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evidenceTbase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context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only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one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existing</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evidence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effect).</w:t>
      </w:r>
      <w:r w:rsidR="007F4EDF" w:rsidRPr="00907B3C">
        <w:rPr>
          <w:rFonts w:ascii="Didot" w:hAnsi="Didot" w:cs="Didot"/>
          <w:color w:val="000000"/>
          <w:sz w:val="22"/>
          <w:szCs w:val="22"/>
          <w:lang w:val="en-US"/>
        </w:rPr>
        <w:t xml:space="preserve"> </w:t>
      </w:r>
    </w:p>
    <w:p w14:paraId="62DB6B2B"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3. Recruitment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retention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(which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families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should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prioritised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receiving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avoid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stigmatising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delivery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prevention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p>
    <w:p w14:paraId="16AB339B"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4. Distribution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location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(whether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w:t>
      </w:r>
      <w:r w:rsidR="007F4EDF" w:rsidRPr="00907B3C">
        <w:rPr>
          <w:rFonts w:ascii="Didot" w:hAnsi="Didot" w:cs="Didot"/>
          <w:color w:val="000000"/>
          <w:sz w:val="22"/>
          <w:szCs w:val="22"/>
          <w:lang w:val="en-US"/>
        </w:rPr>
        <w:t xml:space="preserve"> </w:t>
      </w:r>
    </w:p>
    <w:p w14:paraId="40E772C3" w14:textId="77777777" w:rsidR="00B552DA" w:rsidRPr="00907B3C" w:rsidRDefault="007A49D4"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Add </w:t>
      </w:r>
      <w:r w:rsidR="00B552DA" w:rsidRPr="00907B3C">
        <w:rPr>
          <w:rFonts w:ascii="Didot" w:hAnsi="Didot" w:cs="Didot"/>
          <w:color w:val="000000"/>
          <w:sz w:val="22"/>
          <w:szCs w:val="22"/>
          <w:lang w:val="en-US"/>
        </w:rPr>
        <w:t>on</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existing</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where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province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delivery</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should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prioritised).</w:t>
      </w:r>
      <w:r w:rsidR="007F4EDF" w:rsidRPr="00907B3C">
        <w:rPr>
          <w:rFonts w:ascii="Didot" w:hAnsi="Didot" w:cs="Didot"/>
          <w:color w:val="000000"/>
          <w:sz w:val="22"/>
          <w:szCs w:val="22"/>
          <w:lang w:val="en-US"/>
        </w:rPr>
        <w:t xml:space="preserve"> </w:t>
      </w:r>
    </w:p>
    <w:p w14:paraId="0A2A7830"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5. Practical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realities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delivering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(which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organisation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organisations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provide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institutional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staff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recruited,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trained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managed).</w:t>
      </w:r>
      <w:r w:rsidR="007F4EDF" w:rsidRPr="00907B3C">
        <w:rPr>
          <w:rFonts w:ascii="Didot" w:hAnsi="Didot" w:cs="Didot"/>
          <w:color w:val="000000"/>
          <w:sz w:val="22"/>
          <w:szCs w:val="22"/>
          <w:lang w:val="en-US"/>
        </w:rPr>
        <w:t xml:space="preserve"> </w:t>
      </w:r>
    </w:p>
    <w:p w14:paraId="1A5178A5"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6. Timing,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fidelity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sustainability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mechanisms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ensuring</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fidelity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up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central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roll </w:t>
      </w:r>
      <w:r w:rsidRPr="00907B3C">
        <w:rPr>
          <w:rFonts w:ascii="Didot" w:hAnsi="Didot" w:cs="Didot"/>
          <w:color w:val="000000"/>
          <w:sz w:val="22"/>
          <w:szCs w:val="22"/>
          <w:lang w:val="en-US"/>
        </w:rPr>
        <w:t>out).</w:t>
      </w:r>
      <w:r w:rsidR="007F4EDF" w:rsidRPr="00907B3C">
        <w:rPr>
          <w:rFonts w:ascii="Didot" w:hAnsi="Didot" w:cs="Didot"/>
          <w:color w:val="000000"/>
          <w:sz w:val="22"/>
          <w:szCs w:val="22"/>
          <w:lang w:val="en-US"/>
        </w:rPr>
        <w:t xml:space="preserve"> </w:t>
      </w:r>
    </w:p>
    <w:p w14:paraId="428E160D"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7. Important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ancillary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(working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vulnerable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families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living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difficult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lastRenderedPageBreak/>
        <w:t>environments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requires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access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wide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range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ancillary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HIV</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treatment,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intimate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partner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food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parcels).</w:t>
      </w:r>
      <w:r w:rsidR="007F4EDF" w:rsidRPr="00907B3C">
        <w:rPr>
          <w:rFonts w:ascii="Didot" w:hAnsi="Didot" w:cs="Didot"/>
          <w:color w:val="000000"/>
          <w:sz w:val="22"/>
          <w:szCs w:val="22"/>
          <w:lang w:val="en-US"/>
        </w:rPr>
        <w:t xml:space="preserve"> </w:t>
      </w:r>
    </w:p>
    <w:p w14:paraId="5FF0CED5"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8. Monitoring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evaluation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(questions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whether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government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wished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beyond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monitoring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numbers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assessing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outcomes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p>
    <w:p w14:paraId="343BA09D" w14:textId="77777777" w:rsidR="007A49D4" w:rsidRPr="00907B3C" w:rsidRDefault="007A49D4" w:rsidP="008A7E29">
      <w:pPr>
        <w:widowControl w:val="0"/>
        <w:autoSpaceDE w:val="0"/>
        <w:autoSpaceDN w:val="0"/>
        <w:adjustRightInd w:val="0"/>
        <w:jc w:val="both"/>
        <w:rPr>
          <w:rFonts w:ascii="Didot" w:hAnsi="Didot" w:cs="Didot"/>
          <w:color w:val="000000"/>
          <w:sz w:val="22"/>
          <w:szCs w:val="22"/>
          <w:lang w:val="en-US"/>
        </w:rPr>
      </w:pPr>
    </w:p>
    <w:p w14:paraId="6E8D7BB4"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Consultations</w:t>
      </w:r>
      <w:r w:rsidR="007F4EDF" w:rsidRPr="00907B3C">
        <w:rPr>
          <w:rFonts w:ascii="Didot" w:hAnsi="Didot" w:cs="Didot"/>
          <w:b/>
          <w:sz w:val="22"/>
          <w:szCs w:val="22"/>
          <w:lang w:val="en-US"/>
        </w:rPr>
        <w:t xml:space="preserve"> </w:t>
      </w:r>
    </w:p>
    <w:p w14:paraId="44CF8BF8" w14:textId="77777777" w:rsidR="007A49D4" w:rsidRPr="00907B3C" w:rsidRDefault="007A49D4" w:rsidP="008A7E29">
      <w:pPr>
        <w:widowControl w:val="0"/>
        <w:autoSpaceDE w:val="0"/>
        <w:autoSpaceDN w:val="0"/>
        <w:adjustRightInd w:val="0"/>
        <w:jc w:val="both"/>
        <w:rPr>
          <w:rFonts w:ascii="Didot" w:hAnsi="Didot" w:cs="Didot"/>
          <w:b/>
          <w:sz w:val="22"/>
          <w:szCs w:val="22"/>
          <w:lang w:val="en-US"/>
        </w:rPr>
      </w:pPr>
    </w:p>
    <w:p w14:paraId="6939925E"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Initial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consultations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three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government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departments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most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closely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involved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development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Department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Premier)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rolling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out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Departments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Social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Development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key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stakeholders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identified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group,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including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decision </w:t>
      </w:r>
      <w:r w:rsidRPr="00907B3C">
        <w:rPr>
          <w:rFonts w:ascii="Didot" w:hAnsi="Didot" w:cs="Didot"/>
          <w:color w:val="000000"/>
          <w:sz w:val="22"/>
          <w:szCs w:val="22"/>
          <w:lang w:val="en-US"/>
        </w:rPr>
        <w:t>makers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government,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civil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society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institutions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currently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implementing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academics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involved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developing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evaluating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individuals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involved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instance,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private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practitioners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involved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partTtime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supervision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paraprofessionals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delivering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Some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interviewed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individually,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groups.</w:t>
      </w:r>
      <w:r w:rsidR="007F4EDF" w:rsidRPr="00907B3C">
        <w:rPr>
          <w:rFonts w:ascii="Didot" w:hAnsi="Didot" w:cs="Didot"/>
          <w:color w:val="000000"/>
          <w:sz w:val="22"/>
          <w:szCs w:val="22"/>
          <w:lang w:val="en-US"/>
        </w:rPr>
        <w:t xml:space="preserve"> </w:t>
      </w:r>
    </w:p>
    <w:p w14:paraId="60B101DA" w14:textId="77777777" w:rsidR="007A49D4" w:rsidRPr="00907B3C" w:rsidRDefault="007A49D4" w:rsidP="008A7E29">
      <w:pPr>
        <w:widowControl w:val="0"/>
        <w:autoSpaceDE w:val="0"/>
        <w:autoSpaceDN w:val="0"/>
        <w:adjustRightInd w:val="0"/>
        <w:jc w:val="both"/>
        <w:rPr>
          <w:rFonts w:ascii="Didot" w:hAnsi="Didot" w:cs="Didot"/>
          <w:b/>
          <w:sz w:val="22"/>
          <w:szCs w:val="22"/>
          <w:lang w:val="en-US"/>
        </w:rPr>
      </w:pPr>
    </w:p>
    <w:p w14:paraId="01A10302" w14:textId="77777777" w:rsidR="00B552DA" w:rsidRPr="00907B3C" w:rsidRDefault="00B552DA" w:rsidP="008A7E29">
      <w:pPr>
        <w:widowControl w:val="0"/>
        <w:autoSpaceDE w:val="0"/>
        <w:autoSpaceDN w:val="0"/>
        <w:adjustRightInd w:val="0"/>
        <w:jc w:val="both"/>
        <w:rPr>
          <w:rFonts w:ascii="Didot" w:hAnsi="Didot" w:cs="Didot"/>
          <w:b/>
          <w:sz w:val="22"/>
          <w:szCs w:val="22"/>
          <w:lang w:val="en-US"/>
        </w:rPr>
      </w:pPr>
      <w:r w:rsidRPr="00907B3C">
        <w:rPr>
          <w:rFonts w:ascii="Didot" w:hAnsi="Didot" w:cs="Didot"/>
          <w:b/>
          <w:sz w:val="22"/>
          <w:szCs w:val="22"/>
          <w:lang w:val="en-US"/>
        </w:rPr>
        <w:t>Results</w:t>
      </w:r>
      <w:r w:rsidR="007F4EDF" w:rsidRPr="00907B3C">
        <w:rPr>
          <w:rFonts w:ascii="Didot" w:hAnsi="Didot" w:cs="Didot"/>
          <w:b/>
          <w:sz w:val="22"/>
          <w:szCs w:val="22"/>
          <w:lang w:val="en-US"/>
        </w:rPr>
        <w:t xml:space="preserve"> </w:t>
      </w:r>
      <w:r w:rsidRPr="00907B3C">
        <w:rPr>
          <w:rFonts w:ascii="Didot" w:hAnsi="Didot" w:cs="Didot"/>
          <w:b/>
          <w:sz w:val="22"/>
          <w:szCs w:val="22"/>
          <w:lang w:val="en-US"/>
        </w:rPr>
        <w:t>and</w:t>
      </w:r>
      <w:r w:rsidR="007F4EDF" w:rsidRPr="00907B3C">
        <w:rPr>
          <w:rFonts w:ascii="Didot" w:hAnsi="Didot" w:cs="Didot"/>
          <w:b/>
          <w:sz w:val="22"/>
          <w:szCs w:val="22"/>
          <w:lang w:val="en-US"/>
        </w:rPr>
        <w:t xml:space="preserve"> </w:t>
      </w:r>
      <w:r w:rsidRPr="00907B3C">
        <w:rPr>
          <w:rFonts w:ascii="Didot" w:hAnsi="Didot" w:cs="Didot"/>
          <w:b/>
          <w:sz w:val="22"/>
          <w:szCs w:val="22"/>
          <w:lang w:val="en-US"/>
        </w:rPr>
        <w:t>Conclusion</w:t>
      </w:r>
      <w:r w:rsidR="007F4EDF" w:rsidRPr="00907B3C">
        <w:rPr>
          <w:rFonts w:ascii="Didot" w:hAnsi="Didot" w:cs="Didot"/>
          <w:b/>
          <w:sz w:val="22"/>
          <w:szCs w:val="22"/>
          <w:lang w:val="en-US"/>
        </w:rPr>
        <w:t xml:space="preserve"> </w:t>
      </w:r>
    </w:p>
    <w:p w14:paraId="18FD0C0A" w14:textId="77777777" w:rsidR="007A49D4" w:rsidRPr="00907B3C" w:rsidRDefault="007A49D4" w:rsidP="008A7E29">
      <w:pPr>
        <w:widowControl w:val="0"/>
        <w:autoSpaceDE w:val="0"/>
        <w:autoSpaceDN w:val="0"/>
        <w:adjustRightInd w:val="0"/>
        <w:jc w:val="both"/>
        <w:rPr>
          <w:rFonts w:ascii="Didot" w:hAnsi="Didot" w:cs="Didot"/>
          <w:b/>
          <w:sz w:val="22"/>
          <w:szCs w:val="22"/>
          <w:lang w:val="en-US"/>
        </w:rPr>
      </w:pPr>
    </w:p>
    <w:p w14:paraId="3EC3AAD5"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Initial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decisions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roll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out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only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evidenceTbased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line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thrust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focuses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first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thousand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days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life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explore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possibility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taking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one</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evidence </w:t>
      </w:r>
      <w:r w:rsidRPr="00907B3C">
        <w:rPr>
          <w:rFonts w:ascii="Didot" w:hAnsi="Didot" w:cs="Didot"/>
          <w:color w:val="000000"/>
          <w:sz w:val="22"/>
          <w:szCs w:val="22"/>
          <w:lang w:val="en-US"/>
        </w:rPr>
        <w:t>based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South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Africa,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infant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attachment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Further</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developments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will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reported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meeting.</w:t>
      </w:r>
      <w:r w:rsidR="007F4EDF" w:rsidRPr="00907B3C">
        <w:rPr>
          <w:rFonts w:ascii="Didot" w:hAnsi="Didot" w:cs="Didot"/>
          <w:color w:val="000000"/>
          <w:sz w:val="22"/>
          <w:szCs w:val="22"/>
          <w:lang w:val="en-US"/>
        </w:rPr>
        <w:t xml:space="preserve"> </w:t>
      </w:r>
    </w:p>
    <w:p w14:paraId="737D927E" w14:textId="77777777" w:rsidR="00B552DA" w:rsidRPr="00907B3C" w:rsidRDefault="007F4EDF"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 </w:t>
      </w:r>
    </w:p>
    <w:p w14:paraId="3369DD84"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This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process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should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offer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model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use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contexts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where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A49D4"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prevention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are</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taken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p>
    <w:p w14:paraId="7F63E099" w14:textId="77777777" w:rsidR="00B552DA" w:rsidRPr="00907B3C" w:rsidRDefault="007F4EDF"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   </w:t>
      </w:r>
    </w:p>
    <w:p w14:paraId="35AC5102"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
    <w:p w14:paraId="2EAC8448"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b/>
          <w:sz w:val="22"/>
          <w:szCs w:val="22"/>
          <w:lang w:val="en-US"/>
        </w:rPr>
        <w:t>References</w:t>
      </w:r>
      <w:r w:rsidR="007F4EDF" w:rsidRPr="00907B3C">
        <w:rPr>
          <w:rFonts w:ascii="Didot" w:hAnsi="Didot" w:cs="Didot"/>
          <w:b/>
          <w:sz w:val="22"/>
          <w:szCs w:val="22"/>
          <w:lang w:val="en-US"/>
        </w:rPr>
        <w:t xml:space="preserve"> </w:t>
      </w:r>
    </w:p>
    <w:p w14:paraId="2B5B8DBB" w14:textId="77777777" w:rsidR="00B552DA" w:rsidRPr="00907B3C" w:rsidRDefault="007F4EDF"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 </w:t>
      </w:r>
    </w:p>
    <w:p w14:paraId="72591506"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Barlow,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Johnston,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Kendrick,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Polnay,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StewartTBrown,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(2006).</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Individual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group </w:t>
      </w:r>
      <w:r w:rsidRPr="00907B3C">
        <w:rPr>
          <w:rFonts w:ascii="Didot" w:hAnsi="Didot" w:cs="Didot"/>
          <w:color w:val="000000"/>
          <w:sz w:val="22"/>
          <w:szCs w:val="22"/>
          <w:lang w:val="en-US"/>
        </w:rPr>
        <w:t>based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treatment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physical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abuse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neglect.</w:t>
      </w:r>
      <w:r w:rsidR="007F4EDF" w:rsidRPr="00907B3C">
        <w:rPr>
          <w:rFonts w:ascii="Didot" w:hAnsi="Didot" w:cs="Didot"/>
          <w:color w:val="000000"/>
          <w:sz w:val="22"/>
          <w:szCs w:val="22"/>
          <w:lang w:val="en-US"/>
        </w:rPr>
        <w:t xml:space="preserve"> </w:t>
      </w:r>
    </w:p>
    <w:p w14:paraId="5E887C11" w14:textId="77777777" w:rsidR="00B552DA" w:rsidRPr="00907B3C" w:rsidRDefault="00902A18"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Cochrane Database of Systematic </w:t>
      </w:r>
      <w:r w:rsidR="00B552DA" w:rsidRPr="00907B3C">
        <w:rPr>
          <w:rFonts w:ascii="Didot" w:hAnsi="Didot" w:cs="Didot"/>
          <w:color w:val="000000"/>
          <w:sz w:val="22"/>
          <w:szCs w:val="22"/>
          <w:lang w:val="en-US"/>
        </w:rPr>
        <w:t>Reviews (3).</w:t>
      </w:r>
      <w:r w:rsidR="007F4EDF" w:rsidRPr="00907B3C">
        <w:rPr>
          <w:rFonts w:ascii="Didot" w:hAnsi="Didot" w:cs="Didot"/>
          <w:color w:val="000000"/>
          <w:sz w:val="22"/>
          <w:szCs w:val="22"/>
          <w:lang w:val="en-US"/>
        </w:rPr>
        <w:t xml:space="preserve"> </w:t>
      </w:r>
      <w:proofErr w:type="gramStart"/>
      <w:r w:rsidR="00B552DA" w:rsidRPr="00907B3C">
        <w:rPr>
          <w:rFonts w:ascii="Didot" w:hAnsi="Didot" w:cs="Didot"/>
          <w:color w:val="000000"/>
          <w:sz w:val="22"/>
          <w:szCs w:val="22"/>
          <w:lang w:val="en-US"/>
        </w:rPr>
        <w:t>doi</w:t>
      </w:r>
      <w:proofErr w:type="gramEnd"/>
      <w:r w:rsidR="00B552DA"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10.1002/14651858.CD005463.pub2</w:t>
      </w:r>
      <w:r w:rsidR="007F4EDF" w:rsidRPr="00907B3C">
        <w:rPr>
          <w:rFonts w:ascii="Didot" w:hAnsi="Didot" w:cs="Didot"/>
          <w:color w:val="000000"/>
          <w:sz w:val="22"/>
          <w:szCs w:val="22"/>
          <w:lang w:val="en-US"/>
        </w:rPr>
        <w:t xml:space="preserve"> </w:t>
      </w:r>
    </w:p>
    <w:p w14:paraId="350C7FCD"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3B8FBD54"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Birckmayer,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Weiss,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(2000).</w:t>
      </w:r>
      <w:r w:rsidR="007F4EDF" w:rsidRPr="00907B3C">
        <w:rPr>
          <w:rFonts w:ascii="Didot" w:hAnsi="Didot" w:cs="Didot"/>
          <w:color w:val="000000"/>
          <w:sz w:val="22"/>
          <w:szCs w:val="22"/>
          <w:lang w:val="en-US"/>
        </w:rPr>
        <w:t xml:space="preserve"> </w:t>
      </w:r>
      <w:r w:rsidR="007A49D4" w:rsidRPr="00907B3C">
        <w:rPr>
          <w:rFonts w:ascii="Didot" w:hAnsi="Didot" w:cs="Didot"/>
          <w:color w:val="000000"/>
          <w:sz w:val="22"/>
          <w:szCs w:val="22"/>
          <w:lang w:val="en-US"/>
        </w:rPr>
        <w:t xml:space="preserve">Theory </w:t>
      </w:r>
      <w:r w:rsidRPr="00907B3C">
        <w:rPr>
          <w:rFonts w:ascii="Didot" w:hAnsi="Didot" w:cs="Didot"/>
          <w:color w:val="000000"/>
          <w:sz w:val="22"/>
          <w:szCs w:val="22"/>
          <w:lang w:val="en-US"/>
        </w:rPr>
        <w:t>based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evaluation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practice: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learn?</w:t>
      </w:r>
      <w:r w:rsidR="007F4EDF" w:rsidRPr="00907B3C">
        <w:rPr>
          <w:rFonts w:ascii="Didot" w:hAnsi="Didot" w:cs="Didot"/>
          <w:color w:val="000000"/>
          <w:sz w:val="22"/>
          <w:szCs w:val="22"/>
          <w:lang w:val="en-US"/>
        </w:rPr>
        <w:t xml:space="preserve"> </w:t>
      </w:r>
    </w:p>
    <w:p w14:paraId="145F21E6"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Evaluation Review, </w:t>
      </w:r>
      <w:proofErr w:type="gramStart"/>
      <w:r w:rsidR="00B552DA" w:rsidRPr="00907B3C">
        <w:rPr>
          <w:rFonts w:ascii="Didot" w:hAnsi="Didot" w:cs="Didot"/>
          <w:color w:val="000000"/>
          <w:sz w:val="22"/>
          <w:szCs w:val="22"/>
          <w:lang w:val="en-US"/>
        </w:rPr>
        <w:t>24 ,</w:t>
      </w:r>
      <w:proofErr w:type="gramEnd"/>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407T431.</w:t>
      </w:r>
      <w:r w:rsidR="007F4EDF" w:rsidRPr="00907B3C">
        <w:rPr>
          <w:rFonts w:ascii="Didot" w:hAnsi="Didot" w:cs="Didot"/>
          <w:color w:val="000000"/>
          <w:sz w:val="22"/>
          <w:szCs w:val="22"/>
          <w:lang w:val="en-US"/>
        </w:rPr>
        <w:t xml:space="preserve"> </w:t>
      </w:r>
    </w:p>
    <w:p w14:paraId="20A43AFD" w14:textId="77777777" w:rsidR="00B552DA" w:rsidRPr="00907B3C" w:rsidRDefault="007F4EDF"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 </w:t>
      </w:r>
    </w:p>
    <w:p w14:paraId="5777CBDC"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Bradach,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(2003).</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Going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challenge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replicating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social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programs.</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Stanford Social</w:t>
      </w:r>
    </w:p>
    <w:p w14:paraId="29D4897F"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59AB870E"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Innovation)Review</w:t>
      </w:r>
      <w:proofErr w:type="gramEnd"/>
      <w:r w:rsidRPr="00907B3C">
        <w:rPr>
          <w:rFonts w:ascii="Didot" w:hAnsi="Didot" w:cs="Didot"/>
          <w:color w:val="000000"/>
          <w:sz w:val="22"/>
          <w:szCs w:val="22"/>
          <w:lang w:val="en-US"/>
        </w:rPr>
        <w:t xml:space="preserve"> (Spring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2003),</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19T25.</w:t>
      </w:r>
      <w:r w:rsidR="007F4EDF" w:rsidRPr="00907B3C">
        <w:rPr>
          <w:rFonts w:ascii="Didot" w:hAnsi="Didot" w:cs="Didot"/>
          <w:color w:val="000000"/>
          <w:sz w:val="22"/>
          <w:szCs w:val="22"/>
          <w:lang w:val="en-US"/>
        </w:rPr>
        <w:t xml:space="preserve">  </w:t>
      </w:r>
    </w:p>
    <w:p w14:paraId="24690D96"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Breuer,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Silva,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Fekadu,</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Luitel,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Murhar,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Nakku,</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Lund,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(2014).</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Using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workshops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develop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theorie</w:t>
      </w:r>
      <w:r w:rsidR="00902A18" w:rsidRPr="00907B3C">
        <w:rPr>
          <w:rFonts w:ascii="Didot" w:hAnsi="Didot" w:cs="Didot"/>
          <w:color w:val="000000"/>
          <w:sz w:val="22"/>
          <w:szCs w:val="22"/>
          <w:lang w:val="en-US"/>
        </w:rPr>
        <w:t xml:space="preserve">s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change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five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low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middle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income</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countries: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lessons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from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improving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mental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(PRIME).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International)</w:t>
      </w:r>
    </w:p>
    <w:p w14:paraId="6D3B03BD" w14:textId="77777777" w:rsidR="00B552DA" w:rsidRPr="00907B3C" w:rsidRDefault="00902A18"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Journal of Mental Health Systems, 8</w:t>
      </w:r>
      <w:r w:rsidR="00B552DA" w:rsidRPr="00907B3C">
        <w:rPr>
          <w:rFonts w:ascii="Didot" w:hAnsi="Didot" w:cs="Didot"/>
          <w:color w:val="000000"/>
          <w:sz w:val="22"/>
          <w:szCs w:val="22"/>
          <w:lang w:val="en-US"/>
        </w:rPr>
        <w:t>.</w:t>
      </w:r>
      <w:proofErr w:type="gramEnd"/>
      <w:r w:rsidR="007F4EDF" w:rsidRPr="00907B3C">
        <w:rPr>
          <w:rFonts w:ascii="Didot" w:hAnsi="Didot" w:cs="Didot"/>
          <w:color w:val="000000"/>
          <w:sz w:val="22"/>
          <w:szCs w:val="22"/>
          <w:lang w:val="en-US"/>
        </w:rPr>
        <w:t xml:space="preserve"> </w:t>
      </w:r>
      <w:proofErr w:type="gramStart"/>
      <w:r w:rsidR="00B552DA" w:rsidRPr="00907B3C">
        <w:rPr>
          <w:rFonts w:ascii="Didot" w:hAnsi="Didot" w:cs="Didot"/>
          <w:color w:val="000000"/>
          <w:sz w:val="22"/>
          <w:szCs w:val="22"/>
          <w:lang w:val="en-US"/>
        </w:rPr>
        <w:t>doi</w:t>
      </w:r>
      <w:proofErr w:type="gramEnd"/>
      <w:r w:rsidR="00B552DA"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10.1186/1752T4458T8T15</w:t>
      </w:r>
      <w:r w:rsidR="007F4EDF" w:rsidRPr="00907B3C">
        <w:rPr>
          <w:rFonts w:ascii="Didot" w:hAnsi="Didot" w:cs="Didot"/>
          <w:color w:val="000000"/>
          <w:sz w:val="22"/>
          <w:szCs w:val="22"/>
          <w:lang w:val="en-US"/>
        </w:rPr>
        <w:t xml:space="preserve"> </w:t>
      </w:r>
    </w:p>
    <w:p w14:paraId="0C0B581C"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2A3FD3C2"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Elder,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Eccles,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Ardelt,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Lord,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(1995).</w:t>
      </w:r>
      <w:proofErr w:type="gramEnd"/>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 xml:space="preserve">Inner </w:t>
      </w:r>
      <w:r w:rsidRPr="00907B3C">
        <w:rPr>
          <w:rFonts w:ascii="Didot" w:hAnsi="Didot" w:cs="Didot"/>
          <w:color w:val="000000"/>
          <w:sz w:val="22"/>
          <w:szCs w:val="22"/>
          <w:lang w:val="en-US"/>
        </w:rPr>
        <w:t>city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under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economic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pressure: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Perspectives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strategies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proofErr w:type="gramStart"/>
      <w:r w:rsidR="00902A18" w:rsidRPr="00907B3C">
        <w:rPr>
          <w:rFonts w:ascii="Didot" w:hAnsi="Didot" w:cs="Didot"/>
          <w:color w:val="000000"/>
          <w:sz w:val="22"/>
          <w:szCs w:val="22"/>
          <w:lang w:val="en-US"/>
        </w:rPr>
        <w:t xml:space="preserve">Journal of Marriage and Family, </w:t>
      </w:r>
      <w:r w:rsidRPr="00907B3C">
        <w:rPr>
          <w:rFonts w:ascii="Didot" w:hAnsi="Didot" w:cs="Didot"/>
          <w:color w:val="000000"/>
          <w:sz w:val="22"/>
          <w:szCs w:val="22"/>
          <w:lang w:val="en-US"/>
        </w:rPr>
        <w:t>57 (3),</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771T784.</w:t>
      </w:r>
      <w:proofErr w:type="gramEnd"/>
      <w:r w:rsidR="007F4EDF" w:rsidRPr="00907B3C">
        <w:rPr>
          <w:rFonts w:ascii="Didot" w:hAnsi="Didot" w:cs="Didot"/>
          <w:color w:val="000000"/>
          <w:sz w:val="22"/>
          <w:szCs w:val="22"/>
          <w:lang w:val="en-US"/>
        </w:rPr>
        <w:t xml:space="preserve">  </w:t>
      </w:r>
    </w:p>
    <w:p w14:paraId="6DAB8C0C"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692888A4"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Farrington,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(1988).</w:t>
      </w:r>
      <w:r w:rsidR="007F4EDF"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Childhood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aggression</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adult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violence: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Early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precursors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and</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 xml:space="preserve"> later </w:t>
      </w:r>
      <w:r w:rsidRPr="00907B3C">
        <w:rPr>
          <w:rFonts w:ascii="Didot" w:hAnsi="Didot" w:cs="Didot"/>
          <w:color w:val="000000"/>
          <w:sz w:val="22"/>
          <w:szCs w:val="22"/>
          <w:lang w:val="en-US"/>
        </w:rPr>
        <w:t>life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outcomes.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D</w:t>
      </w:r>
      <w:proofErr w:type="gramEnd"/>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Pepler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K</w:t>
      </w:r>
      <w:proofErr w:type="gramEnd"/>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Rubin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 (Eds.)</w:t>
      </w:r>
      <w:proofErr w:type="gramStart"/>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 xml:space="preserve"> The</w:t>
      </w:r>
      <w:proofErr w:type="gramEnd"/>
      <w:r w:rsidR="00902A18" w:rsidRPr="00907B3C">
        <w:rPr>
          <w:rFonts w:ascii="Didot" w:hAnsi="Didot" w:cs="Didot"/>
          <w:color w:val="000000"/>
          <w:sz w:val="22"/>
          <w:szCs w:val="22"/>
          <w:lang w:val="en-US"/>
        </w:rPr>
        <w:t>) Development and Treatment of</w:t>
      </w:r>
    </w:p>
    <w:p w14:paraId="530EE527" w14:textId="77777777" w:rsidR="00B552DA" w:rsidRPr="00907B3C" w:rsidRDefault="00902A18"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Childhood </w:t>
      </w:r>
      <w:proofErr w:type="gramStart"/>
      <w:r w:rsidR="00B552DA" w:rsidRPr="00907B3C">
        <w:rPr>
          <w:rFonts w:ascii="Didot" w:hAnsi="Didot" w:cs="Didot"/>
          <w:color w:val="000000"/>
          <w:sz w:val="22"/>
          <w:szCs w:val="22"/>
          <w:lang w:val="en-US"/>
        </w:rPr>
        <w:t>Aggression .</w:t>
      </w:r>
      <w:proofErr w:type="gramEnd"/>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Hillsdale,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New</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Jersey:</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Lawrence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Erlbaum</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Associates.</w:t>
      </w:r>
      <w:r w:rsidR="007F4EDF" w:rsidRPr="00907B3C">
        <w:rPr>
          <w:rFonts w:ascii="Didot" w:hAnsi="Didot" w:cs="Didot"/>
          <w:color w:val="000000"/>
          <w:sz w:val="22"/>
          <w:szCs w:val="22"/>
          <w:lang w:val="en-US"/>
        </w:rPr>
        <w:t xml:space="preserve"> </w:t>
      </w:r>
    </w:p>
    <w:p w14:paraId="7D79E062"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47A1F9ED"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Flay,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Biglan,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Boruch,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Castro,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Gottfredson,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Kellam,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(2005).</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Standards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evidence: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Criteria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efficacy,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effectiveness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dissemination.</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 xml:space="preserve">Prevention </w:t>
      </w:r>
      <w:r w:rsidRPr="00907B3C">
        <w:rPr>
          <w:rFonts w:ascii="Didot" w:hAnsi="Didot" w:cs="Didot"/>
          <w:color w:val="000000"/>
          <w:sz w:val="22"/>
          <w:szCs w:val="22"/>
          <w:lang w:val="en-US"/>
        </w:rPr>
        <w:t>Science</w:t>
      </w:r>
      <w:proofErr w:type="gramStart"/>
      <w:r w:rsidR="00902A18" w:rsidRPr="00907B3C">
        <w:rPr>
          <w:rFonts w:ascii="Didot" w:hAnsi="Didot" w:cs="Didot"/>
          <w:color w:val="000000"/>
          <w:sz w:val="22"/>
          <w:szCs w:val="22"/>
          <w:lang w:val="en-US"/>
        </w:rPr>
        <w:t>,</w:t>
      </w:r>
      <w:r w:rsidRPr="00907B3C">
        <w:rPr>
          <w:rFonts w:ascii="Didot" w:hAnsi="Didot" w:cs="Didot"/>
          <w:color w:val="000000"/>
          <w:sz w:val="22"/>
          <w:szCs w:val="22"/>
          <w:lang w:val="en-US"/>
        </w:rPr>
        <w:t>6</w:t>
      </w:r>
      <w:proofErr w:type="gramEnd"/>
      <w:r w:rsidRPr="00907B3C">
        <w:rPr>
          <w:rFonts w:ascii="Didot" w:hAnsi="Didot" w:cs="Didot"/>
          <w:color w:val="000000"/>
          <w:sz w:val="22"/>
          <w:szCs w:val="22"/>
          <w:lang w:val="en-US"/>
        </w:rPr>
        <w:t xml:space="preserve"> (3),</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151T175.</w:t>
      </w:r>
      <w:r w:rsidR="007F4EDF" w:rsidRPr="00907B3C">
        <w:rPr>
          <w:rFonts w:ascii="Didot" w:hAnsi="Didot" w:cs="Didot"/>
          <w:color w:val="000000"/>
          <w:sz w:val="22"/>
          <w:szCs w:val="22"/>
          <w:lang w:val="en-US"/>
        </w:rPr>
        <w:t xml:space="preserve">  </w:t>
      </w:r>
    </w:p>
    <w:p w14:paraId="2BFDC959"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4222236A"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Kaminski,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Valle,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Filene,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Boyle,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(2008).</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 xml:space="preserve">Meta </w:t>
      </w:r>
      <w:r w:rsidRPr="00907B3C">
        <w:rPr>
          <w:rFonts w:ascii="Didot" w:hAnsi="Didot" w:cs="Didot"/>
          <w:color w:val="000000"/>
          <w:sz w:val="22"/>
          <w:szCs w:val="22"/>
          <w:lang w:val="en-US"/>
        </w:rPr>
        <w:t>analytic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Review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902A18"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Components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Associated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Training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Program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Effectiveness.</w:t>
      </w:r>
      <w:r w:rsidR="007F4EDF" w:rsidRPr="00907B3C">
        <w:rPr>
          <w:rFonts w:ascii="Didot" w:hAnsi="Didot" w:cs="Didot"/>
          <w:color w:val="000000"/>
          <w:sz w:val="22"/>
          <w:szCs w:val="22"/>
          <w:lang w:val="en-US"/>
        </w:rPr>
        <w:t xml:space="preserve"> </w:t>
      </w:r>
      <w:proofErr w:type="gramStart"/>
      <w:r w:rsidR="00902A18" w:rsidRPr="00907B3C">
        <w:rPr>
          <w:rFonts w:ascii="Didot" w:hAnsi="Didot" w:cs="Didot"/>
          <w:color w:val="000000"/>
          <w:sz w:val="22"/>
          <w:szCs w:val="22"/>
          <w:lang w:val="en-US"/>
        </w:rPr>
        <w:t xml:space="preserve">Journal of Abnormal ChildPsychology, </w:t>
      </w:r>
      <w:r w:rsidRPr="00907B3C">
        <w:rPr>
          <w:rFonts w:ascii="Didot" w:hAnsi="Didot" w:cs="Didot"/>
          <w:color w:val="000000"/>
          <w:sz w:val="22"/>
          <w:szCs w:val="22"/>
          <w:lang w:val="en-US"/>
        </w:rPr>
        <w:t>36 (4),</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567T589.</w:t>
      </w:r>
      <w:proofErr w:type="gramEnd"/>
      <w:r w:rsidR="007F4EDF"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doi</w:t>
      </w:r>
      <w:proofErr w:type="gramEnd"/>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10.1007/s10802T007T9201T9</w:t>
      </w:r>
      <w:r w:rsidR="007F4EDF" w:rsidRPr="00907B3C">
        <w:rPr>
          <w:rFonts w:ascii="Didot" w:hAnsi="Didot" w:cs="Didot"/>
          <w:color w:val="000000"/>
          <w:sz w:val="22"/>
          <w:szCs w:val="22"/>
          <w:lang w:val="en-US"/>
        </w:rPr>
        <w:t xml:space="preserve"> </w:t>
      </w:r>
    </w:p>
    <w:p w14:paraId="32B5694F"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7495C055"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Kotchick,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Forehand,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(2002).</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Putting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perspective: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discussion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contextual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factors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shape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practices</w:t>
      </w:r>
      <w:proofErr w:type="gramStart"/>
      <w:r w:rsidRPr="00907B3C">
        <w:rPr>
          <w:rFonts w:ascii="Didot" w:hAnsi="Didot" w:cs="Didot"/>
          <w:color w:val="000000"/>
          <w:sz w:val="22"/>
          <w:szCs w:val="22"/>
          <w:lang w:val="en-US"/>
        </w:rPr>
        <w:t>.)11 ,</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255T269.</w:t>
      </w:r>
      <w:r w:rsidR="007F4EDF" w:rsidRPr="00907B3C">
        <w:rPr>
          <w:rFonts w:ascii="Didot" w:hAnsi="Didot" w:cs="Didot"/>
          <w:color w:val="000000"/>
          <w:sz w:val="22"/>
          <w:szCs w:val="22"/>
          <w:lang w:val="en-US"/>
        </w:rPr>
        <w:t xml:space="preserve">  </w:t>
      </w:r>
    </w:p>
    <w:p w14:paraId="30006568"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1A3F093F" w14:textId="77777777" w:rsidR="00B552DA" w:rsidRPr="00907B3C" w:rsidRDefault="00902A18"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 xml:space="preserve">May </w:t>
      </w:r>
      <w:r w:rsidR="00B552DA" w:rsidRPr="00907B3C">
        <w:rPr>
          <w:rFonts w:ascii="Didot" w:hAnsi="Didot" w:cs="Didot"/>
          <w:color w:val="000000"/>
          <w:sz w:val="22"/>
          <w:szCs w:val="22"/>
          <w:lang w:val="en-US"/>
        </w:rPr>
        <w:t>Chahal,</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C.,</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Cawson,</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P.</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(2005).</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Measuring</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maltreatment</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United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Kingdom:</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study</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prevalence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abuse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neglect.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 xml:space="preserve">Child Abuse and Neglect, </w:t>
      </w:r>
      <w:proofErr w:type="gramStart"/>
      <w:r w:rsidR="00B552DA" w:rsidRPr="00907B3C">
        <w:rPr>
          <w:rFonts w:ascii="Didot" w:hAnsi="Didot" w:cs="Didot"/>
          <w:color w:val="000000"/>
          <w:sz w:val="22"/>
          <w:szCs w:val="22"/>
          <w:lang w:val="en-US"/>
        </w:rPr>
        <w:t>29 ,</w:t>
      </w:r>
      <w:proofErr w:type="gramEnd"/>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969T984.</w:t>
      </w:r>
      <w:r w:rsidR="007F4EDF" w:rsidRPr="00907B3C">
        <w:rPr>
          <w:rFonts w:ascii="Didot" w:hAnsi="Didot" w:cs="Didot"/>
          <w:color w:val="000000"/>
          <w:sz w:val="22"/>
          <w:szCs w:val="22"/>
          <w:lang w:val="en-US"/>
        </w:rPr>
        <w:t xml:space="preserve">  </w:t>
      </w:r>
    </w:p>
    <w:p w14:paraId="7F526DC8"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184A7ED4"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Mercy,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Butchart,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Farrington,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Cerdá,</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(2002).</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Youth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Krug,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Dahlberg,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Mercy,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Zwi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Lozano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(Eds.),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World</w:t>
      </w:r>
      <w:r w:rsidR="00902A18" w:rsidRPr="00907B3C">
        <w:rPr>
          <w:rFonts w:ascii="Didot" w:hAnsi="Didot" w:cs="Didot"/>
          <w:color w:val="000000"/>
          <w:sz w:val="22"/>
          <w:szCs w:val="22"/>
          <w:lang w:val="en-US"/>
        </w:rPr>
        <w:t xml:space="preserve"> report on violence and </w:t>
      </w:r>
      <w:proofErr w:type="gramStart"/>
      <w:r w:rsidRPr="00907B3C">
        <w:rPr>
          <w:rFonts w:ascii="Didot" w:hAnsi="Didot" w:cs="Didot"/>
          <w:color w:val="000000"/>
          <w:sz w:val="22"/>
          <w:szCs w:val="22"/>
          <w:lang w:val="en-US"/>
        </w:rPr>
        <w:t>health .</w:t>
      </w:r>
      <w:proofErr w:type="gramEnd"/>
      <w:r w:rsidR="007F4EDF" w:rsidRPr="00907B3C">
        <w:rPr>
          <w:rFonts w:ascii="Didot" w:hAnsi="Didot" w:cs="Didot"/>
          <w:color w:val="000000"/>
          <w:sz w:val="22"/>
          <w:szCs w:val="22"/>
          <w:lang w:val="en-US"/>
        </w:rPr>
        <w:t xml:space="preserve"> </w:t>
      </w:r>
    </w:p>
    <w:p w14:paraId="7CF05784"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Geneva,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Switzerland: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World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Organisation.</w:t>
      </w:r>
      <w:r w:rsidR="007F4EDF" w:rsidRPr="00907B3C">
        <w:rPr>
          <w:rFonts w:ascii="Didot" w:hAnsi="Didot" w:cs="Didot"/>
          <w:color w:val="000000"/>
          <w:sz w:val="22"/>
          <w:szCs w:val="22"/>
          <w:lang w:val="en-US"/>
        </w:rPr>
        <w:t xml:space="preserve"> </w:t>
      </w:r>
    </w:p>
    <w:p w14:paraId="2B5A4E41"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4278CB49"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Mikton,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Butchart,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(2009).</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maltreatment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prevention: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systematic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review</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reviews.</w:t>
      </w:r>
      <w:r w:rsidR="007F4EDF" w:rsidRPr="00907B3C">
        <w:rPr>
          <w:rFonts w:ascii="Didot" w:hAnsi="Didot" w:cs="Didot"/>
          <w:color w:val="000000"/>
          <w:sz w:val="22"/>
          <w:szCs w:val="22"/>
          <w:lang w:val="en-US"/>
        </w:rPr>
        <w:t xml:space="preserve"> </w:t>
      </w:r>
    </w:p>
    <w:p w14:paraId="2F1B87C9" w14:textId="77777777" w:rsidR="00B552DA" w:rsidRPr="00907B3C" w:rsidRDefault="00902A18"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Bulletin of the World Health Organization</w:t>
      </w:r>
      <w:proofErr w:type="gramStart"/>
      <w:r w:rsidRPr="00907B3C">
        <w:rPr>
          <w:rFonts w:ascii="Didot" w:hAnsi="Didot" w:cs="Didot"/>
          <w:color w:val="000000"/>
          <w:sz w:val="22"/>
          <w:szCs w:val="22"/>
          <w:lang w:val="en-US"/>
        </w:rPr>
        <w:t>,</w:t>
      </w:r>
      <w:r w:rsidR="00B552DA" w:rsidRPr="00907B3C">
        <w:rPr>
          <w:rFonts w:ascii="Didot" w:hAnsi="Didot" w:cs="Didot"/>
          <w:color w:val="000000"/>
          <w:sz w:val="22"/>
          <w:szCs w:val="22"/>
          <w:lang w:val="en-US"/>
        </w:rPr>
        <w:t>87</w:t>
      </w:r>
      <w:proofErr w:type="gramEnd"/>
      <w:r w:rsidR="00B552DA" w:rsidRPr="00907B3C">
        <w:rPr>
          <w:rFonts w:ascii="Didot" w:hAnsi="Didot" w:cs="Didot"/>
          <w:color w:val="000000"/>
          <w:sz w:val="22"/>
          <w:szCs w:val="22"/>
          <w:lang w:val="en-US"/>
        </w:rPr>
        <w:t xml:space="preserve"> (5),</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353T361.</w:t>
      </w:r>
      <w:r w:rsidR="007F4EDF" w:rsidRPr="00907B3C">
        <w:rPr>
          <w:rFonts w:ascii="Didot" w:hAnsi="Didot" w:cs="Didot"/>
          <w:color w:val="000000"/>
          <w:sz w:val="22"/>
          <w:szCs w:val="22"/>
          <w:lang w:val="en-US"/>
        </w:rPr>
        <w:t xml:space="preserve">  </w:t>
      </w:r>
    </w:p>
    <w:p w14:paraId="4E3502CF"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62B9A267"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Milat,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Bauman,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Redman,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(2012).</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concept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increasing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scale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potential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adoption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promotion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interventions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into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practice.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p>
    <w:p w14:paraId="06983625"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Promotion</w:t>
      </w:r>
      <w:r w:rsidR="00902A18"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International .</w:t>
      </w:r>
      <w:proofErr w:type="gramEnd"/>
      <w:r w:rsidR="007F4EDF"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doi</w:t>
      </w:r>
      <w:proofErr w:type="gramEnd"/>
      <w:r w:rsidRPr="00907B3C">
        <w:rPr>
          <w:rFonts w:ascii="Didot" w:hAnsi="Didot" w:cs="Didot"/>
          <w:color w:val="000000"/>
          <w:sz w:val="22"/>
          <w:szCs w:val="22"/>
          <w:lang w:val="en-US"/>
        </w:rPr>
        <w: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10.1093/heapro/dar097</w:t>
      </w:r>
      <w:r w:rsidR="007F4EDF" w:rsidRPr="00907B3C">
        <w:rPr>
          <w:rFonts w:ascii="Didot" w:hAnsi="Didot" w:cs="Didot"/>
          <w:color w:val="000000"/>
          <w:sz w:val="22"/>
          <w:szCs w:val="22"/>
          <w:lang w:val="en-US"/>
        </w:rPr>
        <w:t xml:space="preserve"> </w:t>
      </w:r>
    </w:p>
    <w:p w14:paraId="1861CC10"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7ADE3223"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Ogilvie,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Newman,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Todd,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Peck,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(2014).</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Attachment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violent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offending: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proofErr w:type="gramStart"/>
      <w:r w:rsidR="00902A18" w:rsidRPr="00907B3C">
        <w:rPr>
          <w:rFonts w:ascii="Didot" w:hAnsi="Didot" w:cs="Didot"/>
          <w:color w:val="000000"/>
          <w:sz w:val="22"/>
          <w:szCs w:val="22"/>
          <w:lang w:val="en-US"/>
        </w:rPr>
        <w:t>meta</w:t>
      </w:r>
      <w:proofErr w:type="gramEnd"/>
      <w:r w:rsidR="00902A18"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analysis.</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Aggression and Violent Behavior</w:t>
      </w:r>
      <w:proofErr w:type="gramStart"/>
      <w:r w:rsidR="00902A18" w:rsidRPr="00907B3C">
        <w:rPr>
          <w:rFonts w:ascii="Didot" w:hAnsi="Didot" w:cs="Didot"/>
          <w:color w:val="000000"/>
          <w:sz w:val="22"/>
          <w:szCs w:val="22"/>
          <w:lang w:val="en-US"/>
        </w:rPr>
        <w:t>,</w:t>
      </w:r>
      <w:r w:rsidRPr="00907B3C">
        <w:rPr>
          <w:rFonts w:ascii="Didot" w:hAnsi="Didot" w:cs="Didot"/>
          <w:color w:val="000000"/>
          <w:sz w:val="22"/>
          <w:szCs w:val="22"/>
          <w:lang w:val="en-US"/>
        </w:rPr>
        <w:t>19</w:t>
      </w:r>
      <w:proofErr w:type="gramEnd"/>
      <w:r w:rsidRPr="00907B3C">
        <w:rPr>
          <w:rFonts w:ascii="Didot" w:hAnsi="Didot" w:cs="Didot"/>
          <w:color w:val="000000"/>
          <w:sz w:val="22"/>
          <w:szCs w:val="22"/>
          <w:lang w:val="en-US"/>
        </w:rPr>
        <w:t xml:space="preserve"> ,</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322T339.</w:t>
      </w:r>
      <w:r w:rsidR="007F4EDF" w:rsidRPr="00907B3C">
        <w:rPr>
          <w:rFonts w:ascii="Didot" w:hAnsi="Didot" w:cs="Didot"/>
          <w:color w:val="000000"/>
          <w:sz w:val="22"/>
          <w:szCs w:val="22"/>
          <w:lang w:val="en-US"/>
        </w:rPr>
        <w:t xml:space="preserve">  </w:t>
      </w:r>
    </w:p>
    <w:p w14:paraId="39366EFD"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784CA690"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Repetti,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Taylor,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Seeman,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(2002).</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Risky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families: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Family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social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environments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the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mental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physical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offspring.</w:t>
      </w:r>
      <w:r w:rsidR="007F4EDF" w:rsidRPr="00907B3C">
        <w:rPr>
          <w:rFonts w:ascii="Didot" w:hAnsi="Didot" w:cs="Didot"/>
          <w:color w:val="000000"/>
          <w:sz w:val="22"/>
          <w:szCs w:val="22"/>
          <w:lang w:val="en-US"/>
        </w:rPr>
        <w:t xml:space="preserve"> </w:t>
      </w:r>
      <w:proofErr w:type="gramStart"/>
      <w:r w:rsidRPr="00907B3C">
        <w:rPr>
          <w:rFonts w:ascii="Didot" w:hAnsi="Didot" w:cs="Didot"/>
          <w:color w:val="000000"/>
          <w:sz w:val="22"/>
          <w:szCs w:val="22"/>
          <w:lang w:val="en-US"/>
        </w:rPr>
        <w:t>Psychological)Bulletin</w:t>
      </w:r>
      <w:proofErr w:type="gramEnd"/>
      <w:r w:rsidRPr="00907B3C">
        <w:rPr>
          <w:rFonts w:ascii="Didot" w:hAnsi="Didot" w:cs="Didot"/>
          <w:color w:val="000000"/>
          <w:sz w:val="22"/>
          <w:szCs w:val="22"/>
          <w:lang w:val="en-US"/>
        </w:rPr>
        <w:t>,)128 ,</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330T366.</w:t>
      </w:r>
      <w:r w:rsidR="007F4EDF" w:rsidRPr="00907B3C">
        <w:rPr>
          <w:rFonts w:ascii="Didot" w:hAnsi="Didot" w:cs="Didot"/>
          <w:color w:val="000000"/>
          <w:sz w:val="22"/>
          <w:szCs w:val="22"/>
          <w:lang w:val="en-US"/>
        </w:rPr>
        <w:t xml:space="preserve">  </w:t>
      </w:r>
    </w:p>
    <w:p w14:paraId="2F9EED88"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7F0B40C3"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Runyan,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Wattam,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Ikeda,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Hassan,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Ramiro,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(2002).</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abuse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neglect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parents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other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caregivers.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Krug,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Dahlberg,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Mercy,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Zwi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R.</w:t>
      </w:r>
      <w:r w:rsidR="007F4EDF" w:rsidRPr="00907B3C">
        <w:rPr>
          <w:rFonts w:ascii="Didot" w:hAnsi="Didot" w:cs="Didot"/>
          <w:color w:val="000000"/>
          <w:sz w:val="22"/>
          <w:szCs w:val="22"/>
          <w:lang w:val="en-US"/>
        </w:rPr>
        <w:t xml:space="preserve"> </w:t>
      </w:r>
    </w:p>
    <w:p w14:paraId="6DC0682E"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proofErr w:type="gramStart"/>
      <w:r w:rsidRPr="00907B3C">
        <w:rPr>
          <w:rFonts w:ascii="Didot" w:hAnsi="Didot" w:cs="Didot"/>
          <w:color w:val="000000"/>
          <w:sz w:val="22"/>
          <w:szCs w:val="22"/>
          <w:lang w:val="en-US"/>
        </w:rPr>
        <w:t>Lozano</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(Eds.),</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 xml:space="preserve">World report on violence and </w:t>
      </w:r>
      <w:r w:rsidRPr="00907B3C">
        <w:rPr>
          <w:rFonts w:ascii="Didot" w:hAnsi="Didot" w:cs="Didot"/>
          <w:color w:val="000000"/>
          <w:sz w:val="22"/>
          <w:szCs w:val="22"/>
          <w:lang w:val="en-US"/>
        </w:rPr>
        <w:t xml:space="preserve">health </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57T86).</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Geneva,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lastRenderedPageBreak/>
        <w:t>Switzerland: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World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Organisation.</w:t>
      </w:r>
      <w:r w:rsidR="007F4EDF" w:rsidRPr="00907B3C">
        <w:rPr>
          <w:rFonts w:ascii="Didot" w:hAnsi="Didot" w:cs="Didot"/>
          <w:color w:val="000000"/>
          <w:sz w:val="22"/>
          <w:szCs w:val="22"/>
          <w:lang w:val="en-US"/>
        </w:rPr>
        <w:t xml:space="preserve"> </w:t>
      </w:r>
    </w:p>
    <w:p w14:paraId="0969A9EB"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35A863EE"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Sedlak,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Mettenburg,</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Basena,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Petta,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McPherson,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Green,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Li,</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(2010).</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 xml:space="preserve">Fourth National Incidence Study of </w:t>
      </w:r>
      <w:r w:rsidRPr="00907B3C">
        <w:rPr>
          <w:rFonts w:ascii="Didot" w:hAnsi="Didot" w:cs="Didot"/>
          <w:color w:val="000000"/>
          <w:sz w:val="22"/>
          <w:szCs w:val="22"/>
          <w:lang w:val="en-US"/>
        </w:rPr>
        <w:t>C</w:t>
      </w:r>
      <w:r w:rsidR="00902A18" w:rsidRPr="00907B3C">
        <w:rPr>
          <w:rFonts w:ascii="Didot" w:hAnsi="Didot" w:cs="Didot"/>
          <w:color w:val="000000"/>
          <w:sz w:val="22"/>
          <w:szCs w:val="22"/>
          <w:lang w:val="en-US"/>
        </w:rPr>
        <w:t xml:space="preserve">hild Abuse and Neglect (NISU4):)Report to Congress, Executive </w:t>
      </w:r>
      <w:proofErr w:type="gramStart"/>
      <w:r w:rsidRPr="00907B3C">
        <w:rPr>
          <w:rFonts w:ascii="Didot" w:hAnsi="Didot" w:cs="Didot"/>
          <w:color w:val="000000"/>
          <w:sz w:val="22"/>
          <w:szCs w:val="22"/>
          <w:lang w:val="en-US"/>
        </w:rPr>
        <w:t>Summary .</w:t>
      </w:r>
      <w:proofErr w:type="gramEnd"/>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Washington,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DC:</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Department</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Human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Services,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Administration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Children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Families.</w:t>
      </w:r>
      <w:r w:rsidR="007F4EDF" w:rsidRPr="00907B3C">
        <w:rPr>
          <w:rFonts w:ascii="Didot" w:hAnsi="Didot" w:cs="Didot"/>
          <w:color w:val="000000"/>
          <w:sz w:val="22"/>
          <w:szCs w:val="22"/>
          <w:lang w:val="en-US"/>
        </w:rPr>
        <w:t xml:space="preserve"> </w:t>
      </w:r>
    </w:p>
    <w:p w14:paraId="180E66D9"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7B8C4DF2" w14:textId="77777777" w:rsidR="00B552DA" w:rsidRPr="00907B3C" w:rsidRDefault="00B552DA"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Shiffman,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J.,</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&amp;</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Smith,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(2007).</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Generation</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political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priority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for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global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health</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initiatives:</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w:t>
      </w:r>
      <w:r w:rsidR="007F4EDF" w:rsidRPr="00907B3C">
        <w:rPr>
          <w:rFonts w:ascii="Didot" w:hAnsi="Didot" w:cs="Didot"/>
          <w:color w:val="000000"/>
          <w:sz w:val="22"/>
          <w:szCs w:val="22"/>
          <w:lang w:val="en-US"/>
        </w:rPr>
        <w:t xml:space="preserve"> </w:t>
      </w:r>
      <w:r w:rsidR="00902A18" w:rsidRPr="00907B3C">
        <w:rPr>
          <w:rFonts w:ascii="Didot" w:hAnsi="Didot" w:cs="Didot"/>
          <w:color w:val="000000"/>
          <w:sz w:val="22"/>
          <w:szCs w:val="22"/>
          <w:lang w:val="en-US"/>
        </w:rPr>
        <w:t>f</w:t>
      </w:r>
      <w:r w:rsidRPr="00907B3C">
        <w:rPr>
          <w:rFonts w:ascii="Didot" w:hAnsi="Didot" w:cs="Didot"/>
          <w:color w:val="000000"/>
          <w:sz w:val="22"/>
          <w:szCs w:val="22"/>
          <w:lang w:val="en-US"/>
        </w:rPr>
        <w:t>ramework</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case</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study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of</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maternal</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mortality.</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Lancet,</w:t>
      </w:r>
      <w:proofErr w:type="gramStart"/>
      <w:r w:rsidRPr="00907B3C">
        <w:rPr>
          <w:rFonts w:ascii="Didot" w:hAnsi="Didot" w:cs="Didot"/>
          <w:color w:val="000000"/>
          <w:sz w:val="22"/>
          <w:szCs w:val="22"/>
          <w:lang w:val="en-US"/>
        </w:rPr>
        <w:t>)370</w:t>
      </w:r>
      <w:proofErr w:type="gramEnd"/>
      <w:r w:rsidRPr="00907B3C">
        <w:rPr>
          <w:rFonts w:ascii="Didot" w:hAnsi="Didot" w:cs="Didot"/>
          <w:color w:val="000000"/>
          <w:sz w:val="22"/>
          <w:szCs w:val="22"/>
          <w:lang w:val="en-US"/>
        </w:rPr>
        <w:t xml:space="preserve"> ,</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1370T1379.</w:t>
      </w:r>
      <w:r w:rsidR="007F4EDF" w:rsidRPr="00907B3C">
        <w:rPr>
          <w:rFonts w:ascii="Didot" w:hAnsi="Didot" w:cs="Didot"/>
          <w:color w:val="000000"/>
          <w:sz w:val="22"/>
          <w:szCs w:val="22"/>
          <w:lang w:val="en-US"/>
        </w:rPr>
        <w:t xml:space="preserve">  </w:t>
      </w:r>
    </w:p>
    <w:p w14:paraId="5097492E" w14:textId="77777777" w:rsidR="00902A18" w:rsidRPr="00907B3C" w:rsidRDefault="00902A18" w:rsidP="008A7E29">
      <w:pPr>
        <w:widowControl w:val="0"/>
        <w:autoSpaceDE w:val="0"/>
        <w:autoSpaceDN w:val="0"/>
        <w:adjustRightInd w:val="0"/>
        <w:jc w:val="both"/>
        <w:rPr>
          <w:rFonts w:ascii="Didot" w:hAnsi="Didot" w:cs="Didot"/>
          <w:color w:val="000000"/>
          <w:sz w:val="22"/>
          <w:szCs w:val="22"/>
          <w:lang w:val="en-US"/>
        </w:rPr>
      </w:pPr>
    </w:p>
    <w:p w14:paraId="56DF44BF" w14:textId="77777777" w:rsidR="00B552DA" w:rsidRPr="00907B3C" w:rsidRDefault="00902A18" w:rsidP="008A7E29">
      <w:pPr>
        <w:widowControl w:val="0"/>
        <w:autoSpaceDE w:val="0"/>
        <w:autoSpaceDN w:val="0"/>
        <w:adjustRightInd w:val="0"/>
        <w:jc w:val="both"/>
        <w:rPr>
          <w:rFonts w:ascii="Didot" w:hAnsi="Didot" w:cs="Didot"/>
          <w:color w:val="000000"/>
          <w:sz w:val="22"/>
          <w:szCs w:val="22"/>
          <w:lang w:val="en-US"/>
        </w:rPr>
      </w:pPr>
      <w:r w:rsidRPr="00907B3C">
        <w:rPr>
          <w:rFonts w:ascii="Didot" w:hAnsi="Didot" w:cs="Didot"/>
          <w:color w:val="000000"/>
          <w:sz w:val="22"/>
          <w:szCs w:val="22"/>
          <w:lang w:val="en-US"/>
        </w:rPr>
        <w:t>Walker, S.P.</w:t>
      </w:r>
      <w:proofErr w:type="gramStart"/>
      <w:r w:rsidRPr="00907B3C">
        <w:rPr>
          <w:rFonts w:ascii="Didot" w:hAnsi="Didot" w:cs="Didot"/>
          <w:color w:val="000000"/>
          <w:sz w:val="22"/>
          <w:szCs w:val="22"/>
          <w:lang w:val="en-US"/>
        </w:rPr>
        <w:t>,Chang,S.M</w:t>
      </w:r>
      <w:proofErr w:type="gramEnd"/>
      <w:r w:rsidRPr="00907B3C">
        <w:rPr>
          <w:rFonts w:ascii="Didot" w:hAnsi="Didot" w:cs="Didot"/>
          <w:color w:val="000000"/>
          <w:sz w:val="22"/>
          <w:szCs w:val="22"/>
          <w:lang w:val="en-US"/>
        </w:rPr>
        <w:t xml:space="preserve">.,Vera Hernández, M., &amp; Grantham </w:t>
      </w:r>
      <w:r w:rsidR="00B552DA" w:rsidRPr="00907B3C">
        <w:rPr>
          <w:rFonts w:ascii="Didot" w:hAnsi="Didot" w:cs="Didot"/>
          <w:color w:val="000000"/>
          <w:sz w:val="22"/>
          <w:szCs w:val="22"/>
          <w:lang w:val="en-US"/>
        </w:rPr>
        <w:t>McGregor,</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S.</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(2011).</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Early</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childhood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stimulation</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benefits</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adult</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competence</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and</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reduces</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violent</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behavior.</w:t>
      </w:r>
      <w:r w:rsidR="007F4EDF" w:rsidRPr="00907B3C">
        <w:rPr>
          <w:rFonts w:ascii="Didot" w:hAnsi="Didot" w:cs="Didot"/>
          <w:color w:val="000000"/>
          <w:sz w:val="22"/>
          <w:szCs w:val="22"/>
          <w:lang w:val="en-US"/>
        </w:rPr>
        <w:t xml:space="preserve"> </w:t>
      </w:r>
      <w:r w:rsidRPr="00907B3C">
        <w:rPr>
          <w:rFonts w:ascii="Didot" w:hAnsi="Didot" w:cs="Didot"/>
          <w:color w:val="000000"/>
          <w:sz w:val="22"/>
          <w:szCs w:val="22"/>
          <w:lang w:val="en-US"/>
        </w:rPr>
        <w:t>Pediatrics</w:t>
      </w:r>
      <w:proofErr w:type="gramStart"/>
      <w:r w:rsidRPr="00907B3C">
        <w:rPr>
          <w:rFonts w:ascii="Didot" w:hAnsi="Didot" w:cs="Didot"/>
          <w:color w:val="000000"/>
          <w:sz w:val="22"/>
          <w:szCs w:val="22"/>
          <w:lang w:val="en-US"/>
        </w:rPr>
        <w:t>,</w:t>
      </w:r>
      <w:r w:rsidR="00B552DA" w:rsidRPr="00907B3C">
        <w:rPr>
          <w:rFonts w:ascii="Didot" w:hAnsi="Didot" w:cs="Didot"/>
          <w:color w:val="000000"/>
          <w:sz w:val="22"/>
          <w:szCs w:val="22"/>
          <w:lang w:val="en-US"/>
        </w:rPr>
        <w:t>127</w:t>
      </w:r>
      <w:proofErr w:type="gramEnd"/>
      <w:r w:rsidR="00B552DA" w:rsidRPr="00907B3C">
        <w:rPr>
          <w:rFonts w:ascii="Didot" w:hAnsi="Didot" w:cs="Didot"/>
          <w:color w:val="000000"/>
          <w:sz w:val="22"/>
          <w:szCs w:val="22"/>
          <w:lang w:val="en-US"/>
        </w:rPr>
        <w:t xml:space="preserve"> ,</w:t>
      </w:r>
      <w:r w:rsidR="007F4EDF" w:rsidRPr="00907B3C">
        <w:rPr>
          <w:rFonts w:ascii="Didot" w:hAnsi="Didot" w:cs="Didot"/>
          <w:color w:val="000000"/>
          <w:sz w:val="22"/>
          <w:szCs w:val="22"/>
          <w:lang w:val="en-US"/>
        </w:rPr>
        <w:t xml:space="preserve"> </w:t>
      </w:r>
      <w:r w:rsidR="00B552DA" w:rsidRPr="00907B3C">
        <w:rPr>
          <w:rFonts w:ascii="Didot" w:hAnsi="Didot" w:cs="Didot"/>
          <w:color w:val="000000"/>
          <w:sz w:val="22"/>
          <w:szCs w:val="22"/>
          <w:lang w:val="en-US"/>
        </w:rPr>
        <w:t>849T857.</w:t>
      </w:r>
      <w:r w:rsidR="007F4EDF" w:rsidRPr="00907B3C">
        <w:rPr>
          <w:rFonts w:ascii="Didot" w:hAnsi="Didot" w:cs="Didot"/>
          <w:color w:val="000000"/>
          <w:sz w:val="22"/>
          <w:szCs w:val="22"/>
          <w:lang w:val="en-US"/>
        </w:rPr>
        <w:t xml:space="preserve">  </w:t>
      </w:r>
    </w:p>
    <w:p w14:paraId="4E5D47D3" w14:textId="77777777" w:rsidR="00160E26" w:rsidRPr="00907B3C" w:rsidRDefault="00160E26" w:rsidP="008A7E29">
      <w:pPr>
        <w:widowControl w:val="0"/>
        <w:autoSpaceDE w:val="0"/>
        <w:autoSpaceDN w:val="0"/>
        <w:adjustRightInd w:val="0"/>
        <w:spacing w:after="200"/>
        <w:jc w:val="both"/>
        <w:rPr>
          <w:rFonts w:ascii="Didot" w:hAnsi="Didot" w:cs="Didot"/>
          <w:color w:val="000000"/>
          <w:sz w:val="22"/>
          <w:szCs w:val="22"/>
          <w:lang w:val="en-US"/>
        </w:rPr>
        <w:sectPr w:rsidR="00160E26" w:rsidRPr="00907B3C" w:rsidSect="00160E26">
          <w:type w:val="continuous"/>
          <w:pgSz w:w="11900" w:h="16840"/>
          <w:pgMar w:top="1440" w:right="1800" w:bottom="1440" w:left="1800" w:header="708" w:footer="708" w:gutter="0"/>
          <w:cols w:space="708"/>
          <w:docGrid w:linePitch="360"/>
        </w:sectPr>
      </w:pPr>
    </w:p>
    <w:p w14:paraId="6B994DD4" w14:textId="77777777" w:rsidR="00343493" w:rsidRPr="00907B3C" w:rsidRDefault="007F4EDF" w:rsidP="008A7E29">
      <w:pPr>
        <w:widowControl w:val="0"/>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000000"/>
          <w:sz w:val="22"/>
          <w:szCs w:val="22"/>
          <w:lang w:val="en-US"/>
        </w:rPr>
        <w:lastRenderedPageBreak/>
        <w:t xml:space="preserve">  </w:t>
      </w:r>
    </w:p>
    <w:p w14:paraId="3AF5A5B7" w14:textId="77777777" w:rsidR="007F4EDF" w:rsidRPr="006916FC" w:rsidRDefault="007F4EDF" w:rsidP="008A7E29">
      <w:pPr>
        <w:widowControl w:val="0"/>
        <w:autoSpaceDE w:val="0"/>
        <w:autoSpaceDN w:val="0"/>
        <w:adjustRightInd w:val="0"/>
        <w:spacing w:after="200"/>
        <w:jc w:val="both"/>
        <w:rPr>
          <w:rFonts w:ascii="Didot" w:hAnsi="Didot" w:cs="Didot"/>
          <w:b/>
          <w:color w:val="121212"/>
          <w:sz w:val="34"/>
          <w:szCs w:val="34"/>
          <w:lang w:val="en-US"/>
        </w:rPr>
      </w:pPr>
    </w:p>
    <w:p w14:paraId="7CE3391D" w14:textId="2CDD4E3A" w:rsidR="007F4EDF" w:rsidRPr="006916FC" w:rsidRDefault="00900655" w:rsidP="008A7E29">
      <w:pPr>
        <w:pStyle w:val="Heading1"/>
        <w:rPr>
          <w:sz w:val="34"/>
          <w:szCs w:val="34"/>
        </w:rPr>
      </w:pPr>
      <w:r w:rsidRPr="006916FC">
        <w:br w:type="column"/>
      </w:r>
      <w:bookmarkStart w:id="94" w:name="_Toc272639927"/>
      <w:bookmarkStart w:id="95" w:name="_Toc272645050"/>
      <w:r w:rsidR="004B1CB5">
        <w:lastRenderedPageBreak/>
        <w:br w:type="column"/>
      </w:r>
      <w:r w:rsidR="007F4EDF" w:rsidRPr="006916FC">
        <w:rPr>
          <w:sz w:val="34"/>
          <w:szCs w:val="34"/>
        </w:rPr>
        <w:lastRenderedPageBreak/>
        <w:t>Session 9</w:t>
      </w:r>
      <w:bookmarkEnd w:id="94"/>
      <w:bookmarkEnd w:id="95"/>
      <w:r w:rsidR="007F4EDF" w:rsidRPr="006916FC">
        <w:rPr>
          <w:sz w:val="34"/>
          <w:szCs w:val="34"/>
        </w:rPr>
        <w:t xml:space="preserve"> </w:t>
      </w:r>
    </w:p>
    <w:p w14:paraId="3413135C" w14:textId="77777777" w:rsidR="00343493" w:rsidRPr="006916FC" w:rsidRDefault="00343493" w:rsidP="008A7E29">
      <w:pPr>
        <w:pStyle w:val="Heading1"/>
      </w:pPr>
      <w:bookmarkStart w:id="96" w:name="_Toc272639928"/>
      <w:bookmarkStart w:id="97" w:name="_Toc272645051"/>
      <w:r w:rsidRPr="006916FC">
        <w:t>Reducing Intimate Partner Violence Against Women</w:t>
      </w:r>
      <w:bookmarkEnd w:id="96"/>
      <w:bookmarkEnd w:id="97"/>
    </w:p>
    <w:p w14:paraId="7559A1DB" w14:textId="77777777" w:rsidR="00900655" w:rsidRPr="006916FC" w:rsidRDefault="00900655"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5ADA73C8" w14:textId="77777777" w:rsidR="00343493" w:rsidRPr="006916FC" w:rsidRDefault="00343493"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Charlotte Watts - London School of Hygiene and Tropical Medicine, Sigrid Rausing Professor, Director of the Gender, Violence and Health Centre</w:t>
      </w:r>
    </w:p>
    <w:p w14:paraId="60157C16" w14:textId="77777777" w:rsidR="00900655" w:rsidRPr="006916FC" w:rsidRDefault="00900655" w:rsidP="008A7E29">
      <w:pPr>
        <w:widowControl w:val="0"/>
        <w:pBdr>
          <w:bottom w:val="single" w:sz="6" w:space="1" w:color="auto"/>
        </w:pBdr>
        <w:autoSpaceDE w:val="0"/>
        <w:autoSpaceDN w:val="0"/>
        <w:adjustRightInd w:val="0"/>
        <w:spacing w:after="240"/>
        <w:jc w:val="both"/>
        <w:rPr>
          <w:rFonts w:ascii="Didot" w:hAnsi="Didot" w:cs="Didot"/>
          <w:b/>
          <w:bCs/>
          <w:color w:val="121212"/>
          <w:lang w:val="en-US"/>
        </w:rPr>
      </w:pPr>
    </w:p>
    <w:p w14:paraId="0998A4D0" w14:textId="77777777" w:rsidR="00D64F9C" w:rsidRPr="00907B3C" w:rsidRDefault="00D64F9C" w:rsidP="008A7E29">
      <w:pPr>
        <w:widowControl w:val="0"/>
        <w:autoSpaceDE w:val="0"/>
        <w:autoSpaceDN w:val="0"/>
        <w:adjustRightInd w:val="0"/>
        <w:spacing w:after="240"/>
        <w:jc w:val="both"/>
        <w:rPr>
          <w:rFonts w:ascii="Didot" w:hAnsi="Didot" w:cs="Didot"/>
          <w:color w:val="121212"/>
          <w:sz w:val="2"/>
          <w:szCs w:val="2"/>
          <w:lang w:val="en-US"/>
        </w:rPr>
      </w:pPr>
    </w:p>
    <w:p w14:paraId="3FF77B48" w14:textId="77777777" w:rsidR="00343493" w:rsidRPr="00907B3C" w:rsidRDefault="00343493"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Recent prevalence estimates show that between 25% (in Europe and the Western Pacific) and 37% (Africa and South and South East Asia) of women experience physical and/or sexual violence by a partner during their lifetime. While the issue has long received considerable attention from advocates in many parts of the world, there are still few effective interventions to prevent and respond to this form of violence, particularly in low- and middle-income countries. Speakers in this session will highlight what is being done to strengthen the evidence-base and present a case study of efforts to address violence against women in India.</w:t>
      </w:r>
    </w:p>
    <w:p w14:paraId="32A787E7" w14:textId="77777777" w:rsidR="00900655" w:rsidRPr="006916FC" w:rsidRDefault="00900655"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
    <w:p w14:paraId="14414A15" w14:textId="77777777" w:rsidR="00D64F9C" w:rsidRPr="006916FC" w:rsidRDefault="00D64F9C" w:rsidP="008A7E29">
      <w:pPr>
        <w:widowControl w:val="0"/>
        <w:autoSpaceDE w:val="0"/>
        <w:autoSpaceDN w:val="0"/>
        <w:adjustRightInd w:val="0"/>
        <w:spacing w:after="200"/>
        <w:jc w:val="both"/>
        <w:rPr>
          <w:rFonts w:ascii="Didot" w:hAnsi="Didot" w:cs="Didot"/>
          <w:color w:val="121212"/>
          <w:sz w:val="22"/>
          <w:szCs w:val="22"/>
          <w:lang w:val="en-US"/>
        </w:rPr>
      </w:pPr>
    </w:p>
    <w:p w14:paraId="27C3C1B3" w14:textId="77777777" w:rsidR="00343493" w:rsidRPr="006916FC" w:rsidRDefault="00343493" w:rsidP="008A7E29">
      <w:pPr>
        <w:pStyle w:val="Heading2"/>
        <w:jc w:val="both"/>
        <w:rPr>
          <w:rFonts w:ascii="Didot" w:hAnsi="Didot" w:cs="Didot"/>
          <w:color w:val="auto"/>
          <w:sz w:val="34"/>
          <w:szCs w:val="34"/>
        </w:rPr>
      </w:pPr>
      <w:bookmarkStart w:id="98" w:name="_Toc272639929"/>
      <w:bookmarkStart w:id="99" w:name="_Toc272645052"/>
      <w:r w:rsidRPr="006916FC">
        <w:rPr>
          <w:rFonts w:ascii="Didot" w:hAnsi="Didot" w:cs="Didot"/>
          <w:color w:val="auto"/>
          <w:sz w:val="34"/>
          <w:szCs w:val="34"/>
        </w:rPr>
        <w:t>Harriet MacMillan</w:t>
      </w:r>
      <w:bookmarkEnd w:id="98"/>
      <w:bookmarkEnd w:id="99"/>
    </w:p>
    <w:p w14:paraId="0146B3AB"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1BEAC11A" w14:textId="77777777" w:rsidR="00343493" w:rsidRPr="006916FC" w:rsidRDefault="00343493"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17FECA74" w14:textId="77777777" w:rsidR="00F11129" w:rsidRPr="00907B3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Harriet MacMillan is a psychiatrist and pediatrician conducting family violence research.  She is a member of the Offord Centre for Child Studies, and Professor in the Departments of Psychiatry and Behavioural Neurosciences, and Pediatrics at McMaster University with associate memberships in the Departments of Clinical Epidemiology and Biostatistics, and Psychology. Harriet holds the Chedoke Health Chair in Child Psychiatry.  Beginning in 1993 until 2004, Harriet was the founding Director of the Child Advocacy and Assessment Program (CAAP) at McMaster Children's Hospital, a multidisciplinary program committed to reducing the burden of suffering associated with family violence.   She continues to see patients as an active staff member of CAAP and provides consultations to child protection agencies.  Her research focuses on the epidemiology of violence against children and women; she has led randomized controlled trials evaluating the effectiveness of approaches to preventing child maltreatment and intimate partner </w:t>
      </w:r>
      <w:r w:rsidRPr="00907B3C">
        <w:rPr>
          <w:rFonts w:ascii="Didot" w:hAnsi="Didot" w:cs="Didot"/>
          <w:color w:val="121212"/>
          <w:sz w:val="22"/>
          <w:szCs w:val="22"/>
          <w:lang w:val="en-US"/>
        </w:rPr>
        <w:lastRenderedPageBreak/>
        <w:t>violence.  Funding for this work has been provided by organizations such as the WT Grant Foundation, the Canadian Institutes of Health Research (CIHR), the Brain and Behavior Research Foundation (previously NARSAD) and the Centers for Disease Control and Prevention.  Harriet is the principal investigator of a CIHR-funded Centre for Research Development in Gender, Mental Health and Violence across the Lifespan (PreVAiL: http://www.prevailresearch.ca/).  PreVAiL is an international Network made up of researchers in the areas of mental health, gender and violence, and of partner organizations with service, research and policy mandates in these areas.  Through PreVAiL, Harriet works closely with organizations such as the Public Health Agency of Canada and the World Health Organization.</w:t>
      </w:r>
    </w:p>
    <w:p w14:paraId="60EA20EF" w14:textId="77777777" w:rsidR="00900655" w:rsidRPr="006916FC" w:rsidRDefault="00900655"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24A98CF9"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1791F537"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Primary Prevention of Intimate Partner Violence: Current Evidence and Future Prospects</w:t>
      </w:r>
    </w:p>
    <w:p w14:paraId="557900C4" w14:textId="77777777" w:rsidR="00343493" w:rsidRPr="00907B3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Intimate partner violence (or domestic violence as it is often referred to) is a major public health problem associated with significant morbidity and mortality, particularly among women. Most of the interventions aimed at preventing and responding to intimate partner violence (IPV), not surprisingly, address violence by men against women.  This session will provide an overview of what is known about primary prevention of IPV - reducing the incidence and prevalence of initial exposure - through programs and policies.    Prevention of IPV typically focuses on adult women, but the importance of considering children's exposure to IPV will be discussed.  Gaps will be identified and a framework will be presented that outlines the need to consider the overlap between other types of child maltreatment and IPV, as well as approaches that can reduce causal risk factors.</w:t>
      </w:r>
    </w:p>
    <w:p w14:paraId="1E1F4B7A" w14:textId="77777777" w:rsidR="00F11129" w:rsidRPr="006916FC" w:rsidRDefault="00F11129"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69777C6A" w14:textId="0A403C83" w:rsidR="00160E26" w:rsidRPr="006916FC" w:rsidRDefault="00160E26" w:rsidP="008A7E29">
      <w:pPr>
        <w:widowControl w:val="0"/>
        <w:autoSpaceDE w:val="0"/>
        <w:autoSpaceDN w:val="0"/>
        <w:adjustRightInd w:val="0"/>
        <w:spacing w:after="240"/>
        <w:jc w:val="both"/>
        <w:rPr>
          <w:rFonts w:ascii="Didot" w:hAnsi="Didot" w:cs="Didot"/>
          <w:b/>
          <w:lang w:val="en-US"/>
        </w:rPr>
      </w:pPr>
      <w:r w:rsidRPr="006916FC">
        <w:rPr>
          <w:rFonts w:ascii="Didot" w:hAnsi="Didot" w:cs="Didot"/>
          <w:b/>
          <w:lang w:val="en-US"/>
        </w:rPr>
        <w:t>Summary</w:t>
      </w:r>
    </w:p>
    <w:p w14:paraId="27ECE1D3" w14:textId="4717497F" w:rsidR="00160E26" w:rsidRPr="006916FC" w:rsidRDefault="00160E26"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Primary Prevention of Intimate Partner Violence: Current Evidence and Future Prospects</w:t>
      </w:r>
    </w:p>
    <w:p w14:paraId="45A02408"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This presentation will focus on the primary prevention of IPV: stopping IPV before there is any exposure.  </w:t>
      </w:r>
      <w:proofErr w:type="gramStart"/>
      <w:r w:rsidRPr="00907B3C">
        <w:rPr>
          <w:rFonts w:ascii="Didot" w:hAnsi="Didot" w:cs="Didot"/>
          <w:color w:val="121212"/>
          <w:sz w:val="22"/>
          <w:szCs w:val="22"/>
          <w:lang w:val="en-US"/>
        </w:rPr>
        <w:t>IPV is defined as physical, sexual or psychological harm by a current or former partner or spouse</w:t>
      </w:r>
      <w:proofErr w:type="gramEnd"/>
      <w:r w:rsidRPr="00907B3C">
        <w:rPr>
          <w:rFonts w:ascii="Didot" w:hAnsi="Didot" w:cs="Didot"/>
          <w:color w:val="121212"/>
          <w:sz w:val="22"/>
          <w:szCs w:val="22"/>
          <w:lang w:val="en-US"/>
        </w:rPr>
        <w:t xml:space="preserve"> (World Health Organization (WHO), accessed 2014).  Much progress has been made in understanding the distribution and correlates of intimate partner violence (IPV; often referred to as domestic violence).  The emphasis has been predominantly on examining the epidemiology of IPV against women, since the morbidity and mortality associated with IPV is higher for women than for men.  A recent systematic review that included data from 66 countries found that one in seven homicides is committed by an intimate partner; this figure is six times higher for female victims than for males (Stöckl et al., 2013).  The prevalence of IPV against women varies across countries; a comparative study conducted by WHO found a lifetime prevalence of physical and/or sexual violence </w:t>
      </w:r>
      <w:r w:rsidRPr="00907B3C">
        <w:rPr>
          <w:rFonts w:ascii="Didot" w:hAnsi="Didot" w:cs="Didot"/>
          <w:color w:val="121212"/>
          <w:sz w:val="22"/>
          <w:szCs w:val="22"/>
          <w:lang w:val="en-US"/>
        </w:rPr>
        <w:lastRenderedPageBreak/>
        <w:t>ranging from 15 to 71%.  WHO estimates indicate that women are overwhelmingly at greatest risk of violence from a partner or ex-partner compared with other people (WHO, 2005)</w:t>
      </w:r>
      <w:proofErr w:type="gramStart"/>
      <w:r w:rsidRPr="00907B3C">
        <w:rPr>
          <w:rFonts w:ascii="Didot" w:hAnsi="Didot" w:cs="Didot"/>
          <w:color w:val="121212"/>
          <w:sz w:val="22"/>
          <w:szCs w:val="22"/>
          <w:lang w:val="en-US"/>
        </w:rPr>
        <w:t>.</w:t>
      </w:r>
      <w:proofErr w:type="gramEnd"/>
      <w:r w:rsidRPr="00907B3C">
        <w:rPr>
          <w:rFonts w:ascii="Didot" w:hAnsi="Didot" w:cs="Didot"/>
          <w:color w:val="121212"/>
          <w:sz w:val="22"/>
          <w:szCs w:val="22"/>
          <w:lang w:val="en-US"/>
        </w:rPr>
        <w:t xml:space="preserve">  Much less is known about the prevalence of IPV against men by women and between same-sex partners.  </w:t>
      </w:r>
    </w:p>
    <w:p w14:paraId="2B933294"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Similarly, most of what we know about increased risk of IPV is based on studies examining violence against adult women, and the majority is cross-sectional.    In a recent report (WHO/London School of Hygiene and Tropical Medicine, 2010), a list of risk factors for IPV, based on the ecological framework includes variables such as young age, unemployment (individual level); educational disparity (relationship level), high proportion of poverty (community level), and traditional gender norms and social norms supportive of violence (societal level), among others.   </w:t>
      </w:r>
      <w:proofErr w:type="gramStart"/>
      <w:r w:rsidRPr="00907B3C">
        <w:rPr>
          <w:rFonts w:ascii="Didot" w:hAnsi="Didot" w:cs="Didot"/>
          <w:color w:val="121212"/>
          <w:sz w:val="22"/>
          <w:szCs w:val="22"/>
          <w:lang w:val="en-US"/>
        </w:rPr>
        <w:t>The factors are organized according to victimization of women and perpetration by men</w:t>
      </w:r>
      <w:proofErr w:type="gramEnd"/>
      <w:r w:rsidRPr="00907B3C">
        <w:rPr>
          <w:rFonts w:ascii="Didot" w:hAnsi="Didot" w:cs="Didot"/>
          <w:color w:val="121212"/>
          <w:sz w:val="22"/>
          <w:szCs w:val="22"/>
          <w:lang w:val="en-US"/>
        </w:rPr>
        <w:t xml:space="preserve">.  Of particular note, no distinction is made amongst the risk factors between those that are </w:t>
      </w:r>
      <w:proofErr w:type="gramStart"/>
      <w:r w:rsidRPr="00907B3C">
        <w:rPr>
          <w:rFonts w:ascii="Didot" w:hAnsi="Didot" w:cs="Didot"/>
          <w:color w:val="121212"/>
          <w:sz w:val="22"/>
          <w:szCs w:val="22"/>
          <w:lang w:val="en-US"/>
        </w:rPr>
        <w:t>time-varying</w:t>
      </w:r>
      <w:proofErr w:type="gramEnd"/>
      <w:r w:rsidRPr="00907B3C">
        <w:rPr>
          <w:rFonts w:ascii="Didot" w:hAnsi="Didot" w:cs="Didot"/>
          <w:color w:val="121212"/>
          <w:sz w:val="22"/>
          <w:szCs w:val="22"/>
          <w:lang w:val="en-US"/>
        </w:rPr>
        <w:t xml:space="preserve"> or not (variable versus fixed) and those that are causal, where research has shown that change in the factor alters the outcome (Kraemer et al., 1997).  Many of the variables referred to as “risk factors” in the IPV field are in fact only known to be correlates – factors that show an association, but for which no information is available about time sequence.  What the field of IPV primary prevention requires is identification of causal risk factors for IPV – variable risk factors that can be changed within an individual (or relationship, community or at the societal level).  Such change may occur spontaneously, or (and most importantly for prevention) as a result of intervention, including programs and policies.  Identification of causal risk factors requires longitudinal population studies; cross-sectional surveys of risk are insufficient.  </w:t>
      </w:r>
    </w:p>
    <w:p w14:paraId="49083247"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The overlap between IPV and dating violence – </w:t>
      </w:r>
      <w:proofErr w:type="gramStart"/>
      <w:r w:rsidRPr="00907B3C">
        <w:rPr>
          <w:rFonts w:ascii="Didot" w:hAnsi="Didot" w:cs="Didot"/>
          <w:color w:val="121212"/>
          <w:sz w:val="22"/>
          <w:szCs w:val="22"/>
          <w:lang w:val="en-US"/>
        </w:rPr>
        <w:t>defined</w:t>
      </w:r>
      <w:proofErr w:type="gramEnd"/>
      <w:r w:rsidRPr="00907B3C">
        <w:rPr>
          <w:rFonts w:ascii="Didot" w:hAnsi="Didot" w:cs="Didot"/>
          <w:color w:val="121212"/>
          <w:sz w:val="22"/>
          <w:szCs w:val="22"/>
          <w:lang w:val="en-US"/>
        </w:rPr>
        <w:t xml:space="preserve"> as physical, sexual or psychological violence within a dating relationship – is unclear.  Dating violence is sometimes considered as a subtype of IPV, but is also conceptualized as a precursor for IPV in adulthood (Centers for Disease Control and Prevention, 2006).  Typically dating violence refers to relationship violence among adolescents where the perpetrators are most commonly peers.  It is in fact dating violence among adolescents that has been the focus of IPV primary prevention efforts, specifically educational and skills-based programs that emphasize conflict resolution strategies, respectful relationships and acquisition of knowledge and attitudes aimed at preventing initial violence.  (Often prevention of further violence is also identified as a goal of these programs, however this presentation focuses on primary prevention.)   Most of these studies have identified changes in attitudes or knowledge as the primary outcome, but it cannot be assumed that improvement in proxy measures leads to changes in behaviour resulting in violence reduction.  Increasingly, studies are including self-reports of violence perpetration and victimization (direct measures) as primary outcomes, which is an important step forward.   The summary that follows focuses on direct rather than proxy measures (Fellmeth et al., 2013).</w:t>
      </w:r>
    </w:p>
    <w:p w14:paraId="5A7DB7D1"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There have been two systematic reviews on this topic; both included predominantly school- and community-based programs administered to middle- and/or </w:t>
      </w:r>
      <w:proofErr w:type="gramStart"/>
      <w:r w:rsidRPr="00907B3C">
        <w:rPr>
          <w:rFonts w:ascii="Didot" w:hAnsi="Didot" w:cs="Didot"/>
          <w:color w:val="121212"/>
          <w:sz w:val="22"/>
          <w:szCs w:val="22"/>
          <w:lang w:val="en-US"/>
        </w:rPr>
        <w:t>high-school</w:t>
      </w:r>
      <w:proofErr w:type="gramEnd"/>
      <w:r w:rsidRPr="00907B3C">
        <w:rPr>
          <w:rFonts w:ascii="Didot" w:hAnsi="Didot" w:cs="Didot"/>
          <w:color w:val="121212"/>
          <w:sz w:val="22"/>
          <w:szCs w:val="22"/>
          <w:lang w:val="en-US"/>
        </w:rPr>
        <w:t xml:space="preserve"> aged students (Whitaker et al., 2006; Fellmeth et al., 2013).  The earlier review (Whitaker et al., 2006), which included a total of 11 studies, identified two programs evaluated in randomized controlled trials (RCTs) (Safe Dates (Foshee et </w:t>
      </w:r>
      <w:r w:rsidRPr="00907B3C">
        <w:rPr>
          <w:rFonts w:ascii="Didot" w:hAnsi="Didot" w:cs="Didot"/>
          <w:color w:val="121212"/>
          <w:sz w:val="22"/>
          <w:szCs w:val="22"/>
          <w:lang w:val="en-US"/>
        </w:rPr>
        <w:lastRenderedPageBreak/>
        <w:t>al., 1998) and the Youth Relationships Project (Wolfe et al., 2003)) that reported a positive intervention effect on changes in behaviour.  Safe Dates, a universal program, which included classroom sessions and community activities for 11</w:t>
      </w:r>
      <w:r w:rsidRPr="00907B3C">
        <w:rPr>
          <w:rFonts w:ascii="Didot" w:hAnsi="Didot" w:cs="Didot"/>
          <w:color w:val="121212"/>
          <w:sz w:val="22"/>
          <w:szCs w:val="22"/>
          <w:vertAlign w:val="superscript"/>
          <w:lang w:val="en-US"/>
        </w:rPr>
        <w:t>th</w:t>
      </w:r>
      <w:r w:rsidRPr="00907B3C">
        <w:rPr>
          <w:rFonts w:ascii="Didot" w:hAnsi="Didot" w:cs="Didot"/>
          <w:color w:val="121212"/>
          <w:sz w:val="22"/>
          <w:szCs w:val="22"/>
          <w:lang w:val="en-US"/>
        </w:rPr>
        <w:t xml:space="preserve"> grade students, found reductions in perpetration of physical, serious physical and sexual violence, but not psychological violence, in the intervention group, compared with controls.  The Youth Relationships Project was a targeted program of classroom and community activities for 14 to 16 year-olds with a history of child maltreatment; there was less physical violence perpetration reported by intervention participants compared to controls.  The review authors evaluated both these studies as of high quality, but referred to the evidence as promising because of questions regarding mechanism of effect and generalizability.     </w:t>
      </w:r>
    </w:p>
    <w:p w14:paraId="2401A797"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Fellmeth and colleagues (2013) included 38 studies in their systematic review and conducted a meta-analysis of a subset of 33, with eight studies assessing episodes of relationship violence and four studies of behaviour related to relationship violence.  The meta-analyses showed no evidence of a statistically significant effect of the interventions on the outcomes of changes in episodes of relationship violence or violence-related behaviour.  They concluded that there is no evidence of an effect for educational and skills-based interventions for preventing relationship and dating violence.  Of particular note, as highlighted by the review authors, none of the studies included health outcomes.   A limitation of the meta-analysis was the inability to include results from a large RCT examining the intervention, Safe Dates, referred to above (Foshee et al., 1998) because of insufficient raw data.  </w:t>
      </w:r>
    </w:p>
    <w:p w14:paraId="6E871D73"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Many authorities recommend intersectoral collaboration of health, education, social and legal services to advocate for IPV prevention programs and policies, including raising public awareness.  The scientific evidence for such approaches is lacking however, and they need to be evaluated (Stewart et al., 2013).  </w:t>
      </w:r>
    </w:p>
    <w:p w14:paraId="5081BD90"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To date, as is evident from above, the main focus of primary prevention research in the area of IPV has been on reducing adult IPV by preventing dating violence among adolescents.   While programs such as Safe Dates warrant further evaluation, it is also important to consider how efforts to reduce children’s exposure to IPV could hypothetically prevent dating violence as well as IPV during adulthood.  Exposure to IPV in childhood and other types of maltreatment are well recognized as risk factors for IPV (Stöckl et al., 2014).  Two critical research questions are as follows: 1) is children’s exposure to IPV and/or other types of maltreatment a </w:t>
      </w:r>
      <w:r w:rsidRPr="00907B3C">
        <w:rPr>
          <w:rFonts w:ascii="Didot" w:hAnsi="Didot" w:cs="Didot"/>
          <w:b/>
          <w:color w:val="121212"/>
          <w:sz w:val="22"/>
          <w:szCs w:val="22"/>
          <w:lang w:val="en-US"/>
        </w:rPr>
        <w:t xml:space="preserve">causal </w:t>
      </w:r>
      <w:r w:rsidRPr="00907B3C">
        <w:rPr>
          <w:rFonts w:ascii="Didot" w:hAnsi="Didot" w:cs="Didot"/>
          <w:color w:val="121212"/>
          <w:sz w:val="22"/>
          <w:szCs w:val="22"/>
          <w:lang w:val="en-US"/>
        </w:rPr>
        <w:t xml:space="preserve">risk factor for subsequent victimization and perpetration of IPV during adulthood; and 2) if so, what approaches can reduce children’s exposure to IPV?   Research into prevention of IPV and child maltreatment has traditionally been conducted in silos, but it is becoming increasingly apparent that the strategies for primary prevention of these common types of family violence may overlap.  An example from an ongoing trial examining an intervention to reduce IPV within the context of a nurse home visitation program that has been shown to prevent child maltreatment will be discussed.  </w:t>
      </w:r>
    </w:p>
    <w:p w14:paraId="1C520FA9"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br w:type="page"/>
      </w:r>
    </w:p>
    <w:p w14:paraId="132F91C7" w14:textId="77777777" w:rsidR="00160E26" w:rsidRPr="00907B3C" w:rsidRDefault="00160E26" w:rsidP="008A7E29">
      <w:pPr>
        <w:widowControl w:val="0"/>
        <w:autoSpaceDE w:val="0"/>
        <w:autoSpaceDN w:val="0"/>
        <w:adjustRightInd w:val="0"/>
        <w:spacing w:after="240"/>
        <w:jc w:val="both"/>
        <w:rPr>
          <w:rFonts w:ascii="Didot" w:hAnsi="Didot" w:cs="Didot"/>
          <w:b/>
          <w:color w:val="121212"/>
          <w:sz w:val="22"/>
          <w:szCs w:val="22"/>
          <w:lang w:val="en-US"/>
        </w:rPr>
      </w:pPr>
      <w:r w:rsidRPr="00907B3C">
        <w:rPr>
          <w:rFonts w:ascii="Didot" w:hAnsi="Didot" w:cs="Didot"/>
          <w:b/>
          <w:color w:val="121212"/>
          <w:sz w:val="22"/>
          <w:szCs w:val="22"/>
          <w:lang w:val="en-US"/>
        </w:rPr>
        <w:lastRenderedPageBreak/>
        <w:t>References</w:t>
      </w:r>
    </w:p>
    <w:p w14:paraId="22F8286E"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proofErr w:type="gramStart"/>
      <w:r w:rsidRPr="00907B3C">
        <w:rPr>
          <w:rFonts w:ascii="Didot" w:hAnsi="Didot" w:cs="Didot"/>
          <w:color w:val="121212"/>
          <w:sz w:val="22"/>
          <w:szCs w:val="22"/>
          <w:lang w:val="en-US"/>
        </w:rPr>
        <w:t>Centers for Disease Control and Prevention.</w:t>
      </w:r>
      <w:proofErr w:type="gramEnd"/>
      <w:r w:rsidRPr="00907B3C">
        <w:rPr>
          <w:rFonts w:ascii="Didot" w:hAnsi="Didot" w:cs="Didot"/>
          <w:color w:val="121212"/>
          <w:sz w:val="22"/>
          <w:szCs w:val="22"/>
          <w:lang w:val="en-US"/>
        </w:rPr>
        <w:t xml:space="preserve"> </w:t>
      </w:r>
      <w:proofErr w:type="gramStart"/>
      <w:r w:rsidRPr="00907B3C">
        <w:rPr>
          <w:rFonts w:ascii="Didot" w:hAnsi="Didot" w:cs="Didot"/>
          <w:color w:val="121212"/>
          <w:sz w:val="22"/>
          <w:szCs w:val="22"/>
          <w:lang w:val="en-US"/>
        </w:rPr>
        <w:t>Physical dating violence among high school—United States, 2003.</w:t>
      </w:r>
      <w:proofErr w:type="gramEnd"/>
      <w:r w:rsidRPr="00907B3C">
        <w:rPr>
          <w:rFonts w:ascii="Didot" w:hAnsi="Didot" w:cs="Didot"/>
          <w:color w:val="121212"/>
          <w:sz w:val="22"/>
          <w:szCs w:val="22"/>
          <w:lang w:val="en-US"/>
        </w:rPr>
        <w:t xml:space="preserve"> MMWR Morb Mortal Wkly 2006</w:t>
      </w:r>
      <w:proofErr w:type="gramStart"/>
      <w:r w:rsidRPr="00907B3C">
        <w:rPr>
          <w:rFonts w:ascii="Didot" w:hAnsi="Didot" w:cs="Didot"/>
          <w:color w:val="121212"/>
          <w:sz w:val="22"/>
          <w:szCs w:val="22"/>
          <w:lang w:val="en-US"/>
        </w:rPr>
        <w:t>;55:532</w:t>
      </w:r>
      <w:proofErr w:type="gramEnd"/>
      <w:r w:rsidRPr="00907B3C">
        <w:rPr>
          <w:rFonts w:ascii="Didot" w:hAnsi="Didot" w:cs="Didot"/>
          <w:color w:val="121212"/>
          <w:sz w:val="22"/>
          <w:szCs w:val="22"/>
          <w:lang w:val="en-US"/>
        </w:rPr>
        <w:t xml:space="preserve">-535. </w:t>
      </w:r>
    </w:p>
    <w:p w14:paraId="2533D316"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Fellmeth GLT, Heffernan C, Nurse J, Habibula S, Sethi D. Educational and skills-based interventions for preventing relationship and dating violence in adolescents and young adults. Cochrane Database Syst Rev 2013</w:t>
      </w:r>
      <w:proofErr w:type="gramStart"/>
      <w:r w:rsidRPr="00907B3C">
        <w:rPr>
          <w:rFonts w:ascii="Didot" w:hAnsi="Didot" w:cs="Didot"/>
          <w:color w:val="121212"/>
          <w:sz w:val="22"/>
          <w:szCs w:val="22"/>
          <w:lang w:val="en-US"/>
        </w:rPr>
        <w:t>;6:CD004534</w:t>
      </w:r>
      <w:proofErr w:type="gramEnd"/>
      <w:r w:rsidRPr="00907B3C">
        <w:rPr>
          <w:rFonts w:ascii="Didot" w:hAnsi="Didot" w:cs="Didot"/>
          <w:color w:val="121212"/>
          <w:sz w:val="22"/>
          <w:szCs w:val="22"/>
          <w:lang w:val="en-US"/>
        </w:rPr>
        <w:t>.</w:t>
      </w:r>
    </w:p>
    <w:p w14:paraId="5035C5A3"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Foshee VA, Bauman KE, Arriaga XB, Helms RW, Koch GG, Linder GF. </w:t>
      </w:r>
      <w:proofErr w:type="gramStart"/>
      <w:r w:rsidRPr="00907B3C">
        <w:rPr>
          <w:rFonts w:ascii="Didot" w:hAnsi="Didot" w:cs="Didot"/>
          <w:color w:val="121212"/>
          <w:sz w:val="22"/>
          <w:szCs w:val="22"/>
          <w:lang w:val="en-US"/>
        </w:rPr>
        <w:t>An evaluation of Safe Dates, an adolescent violence prevention program.</w:t>
      </w:r>
      <w:proofErr w:type="gramEnd"/>
      <w:r w:rsidRPr="00907B3C">
        <w:rPr>
          <w:rFonts w:ascii="Didot" w:hAnsi="Didot" w:cs="Didot"/>
          <w:color w:val="121212"/>
          <w:sz w:val="22"/>
          <w:szCs w:val="22"/>
          <w:lang w:val="en-US"/>
        </w:rPr>
        <w:t xml:space="preserve"> </w:t>
      </w:r>
      <w:proofErr w:type="gramStart"/>
      <w:r w:rsidRPr="00907B3C">
        <w:rPr>
          <w:rFonts w:ascii="Didot" w:hAnsi="Didot" w:cs="Didot"/>
          <w:color w:val="121212"/>
          <w:sz w:val="22"/>
          <w:szCs w:val="22"/>
          <w:lang w:val="en-US"/>
        </w:rPr>
        <w:t>Am</w:t>
      </w:r>
      <w:proofErr w:type="gramEnd"/>
      <w:r w:rsidRPr="00907B3C">
        <w:rPr>
          <w:rFonts w:ascii="Didot" w:hAnsi="Didot" w:cs="Didot"/>
          <w:color w:val="121212"/>
          <w:sz w:val="22"/>
          <w:szCs w:val="22"/>
          <w:lang w:val="en-US"/>
        </w:rPr>
        <w:t xml:space="preserve"> J Public Health 1998; 88:45-50.</w:t>
      </w:r>
    </w:p>
    <w:p w14:paraId="39EBE577"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Kraemer HC, Kazdin AE, Offord DR, Kessler RC, Jensen PS, Kupfer DJ. Coming to terms with the terms of risk.  Arch Gen Psychiatry 1997</w:t>
      </w:r>
      <w:proofErr w:type="gramStart"/>
      <w:r w:rsidRPr="00907B3C">
        <w:rPr>
          <w:rFonts w:ascii="Didot" w:hAnsi="Didot" w:cs="Didot"/>
          <w:color w:val="121212"/>
          <w:sz w:val="22"/>
          <w:szCs w:val="22"/>
          <w:lang w:val="en-US"/>
        </w:rPr>
        <w:t>;54:337</w:t>
      </w:r>
      <w:proofErr w:type="gramEnd"/>
      <w:r w:rsidRPr="00907B3C">
        <w:rPr>
          <w:rFonts w:ascii="Didot" w:hAnsi="Didot" w:cs="Didot"/>
          <w:color w:val="121212"/>
          <w:sz w:val="22"/>
          <w:szCs w:val="22"/>
          <w:lang w:val="en-US"/>
        </w:rPr>
        <w:t>-343.</w:t>
      </w:r>
    </w:p>
    <w:p w14:paraId="29CEEB9C"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Stewart DE, MacMillan H, Wathen N. Intimate partner violence. Can J Psychiatry 2013</w:t>
      </w:r>
      <w:proofErr w:type="gramStart"/>
      <w:r w:rsidRPr="00907B3C">
        <w:rPr>
          <w:rFonts w:ascii="Didot" w:hAnsi="Didot" w:cs="Didot"/>
          <w:color w:val="121212"/>
          <w:sz w:val="22"/>
          <w:szCs w:val="22"/>
          <w:lang w:val="en-US"/>
        </w:rPr>
        <w:t>;58:Insert</w:t>
      </w:r>
      <w:proofErr w:type="gramEnd"/>
      <w:r w:rsidRPr="00907B3C">
        <w:rPr>
          <w:rFonts w:ascii="Didot" w:hAnsi="Didot" w:cs="Didot"/>
          <w:color w:val="121212"/>
          <w:sz w:val="22"/>
          <w:szCs w:val="22"/>
          <w:lang w:val="en-US"/>
        </w:rPr>
        <w:t xml:space="preserve"> 1 - 15, Encart 1-17.</w:t>
      </w:r>
    </w:p>
    <w:p w14:paraId="0231904C"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Stöckl H, Devries K, Rotstein A, Abrahams N, Campbell J, Watts C, et al. The global prevalence of intimate partner homicide: A systematic review. Lancet 2013</w:t>
      </w:r>
      <w:proofErr w:type="gramStart"/>
      <w:r w:rsidRPr="00907B3C">
        <w:rPr>
          <w:rFonts w:ascii="Didot" w:hAnsi="Didot" w:cs="Didot"/>
          <w:color w:val="121212"/>
          <w:sz w:val="22"/>
          <w:szCs w:val="22"/>
          <w:lang w:val="en-US"/>
        </w:rPr>
        <w:t>;382:859</w:t>
      </w:r>
      <w:proofErr w:type="gramEnd"/>
      <w:r w:rsidRPr="00907B3C">
        <w:rPr>
          <w:rFonts w:ascii="Didot" w:hAnsi="Didot" w:cs="Didot"/>
          <w:color w:val="121212"/>
          <w:sz w:val="22"/>
          <w:szCs w:val="22"/>
          <w:lang w:val="en-US"/>
        </w:rPr>
        <w:t>-865.</w:t>
      </w:r>
    </w:p>
    <w:p w14:paraId="4279782B"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Stöckl H, March L, Pallitto C, Garcia-Moreno C and behalf of the WHO Multi-country Study team.  Intimate partner violence among adolescents and young women: prevalence and associated factors in nine countries: a cross-sectional study. BMC Public Health 2014 14:751.</w:t>
      </w:r>
    </w:p>
    <w:p w14:paraId="4903EB2E"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Whitaker DJ, Morrison S, Lindquist C, Hawkins SR, O’Neil JA, Nesius AM, Mathew A, Reese L.  </w:t>
      </w:r>
      <w:proofErr w:type="gramStart"/>
      <w:r w:rsidRPr="00907B3C">
        <w:rPr>
          <w:rFonts w:ascii="Didot" w:hAnsi="Didot" w:cs="Didot"/>
          <w:color w:val="121212"/>
          <w:sz w:val="22"/>
          <w:szCs w:val="22"/>
          <w:lang w:val="en-US"/>
        </w:rPr>
        <w:t>A critical review of interventions for the primary prevention of perpetration of partner violence.</w:t>
      </w:r>
      <w:proofErr w:type="gramEnd"/>
      <w:r w:rsidRPr="00907B3C">
        <w:rPr>
          <w:rFonts w:ascii="Didot" w:hAnsi="Didot" w:cs="Didot"/>
          <w:color w:val="121212"/>
          <w:sz w:val="22"/>
          <w:szCs w:val="22"/>
          <w:lang w:val="en-US"/>
        </w:rPr>
        <w:t xml:space="preserve">  Aggress Viol Behavior 2006</w:t>
      </w:r>
      <w:proofErr w:type="gramStart"/>
      <w:r w:rsidRPr="00907B3C">
        <w:rPr>
          <w:rFonts w:ascii="Didot" w:hAnsi="Didot" w:cs="Didot"/>
          <w:color w:val="121212"/>
          <w:sz w:val="22"/>
          <w:szCs w:val="22"/>
          <w:lang w:val="en-US"/>
        </w:rPr>
        <w:t>;11:151</w:t>
      </w:r>
      <w:proofErr w:type="gramEnd"/>
      <w:r w:rsidRPr="00907B3C">
        <w:rPr>
          <w:rFonts w:ascii="Didot" w:hAnsi="Didot" w:cs="Didot"/>
          <w:color w:val="121212"/>
          <w:sz w:val="22"/>
          <w:szCs w:val="22"/>
          <w:lang w:val="en-US"/>
        </w:rPr>
        <w:t xml:space="preserve">-166. </w:t>
      </w:r>
    </w:p>
    <w:p w14:paraId="36622139"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Wolfe DA, Wekerle C, Scott K, Straatman AL, Grasley C, Reitzel-Jaffe D.  Dating violence prevention with at-risk youth: a controlled outcome evaluation. J Consult Clin Psychol 2003</w:t>
      </w:r>
      <w:proofErr w:type="gramStart"/>
      <w:r w:rsidRPr="00907B3C">
        <w:rPr>
          <w:rFonts w:ascii="Didot" w:hAnsi="Didot" w:cs="Didot"/>
          <w:color w:val="121212"/>
          <w:sz w:val="22"/>
          <w:szCs w:val="22"/>
          <w:lang w:val="en-US"/>
        </w:rPr>
        <w:t>;71:279</w:t>
      </w:r>
      <w:proofErr w:type="gramEnd"/>
      <w:r w:rsidRPr="00907B3C">
        <w:rPr>
          <w:rFonts w:ascii="Didot" w:hAnsi="Didot" w:cs="Didot"/>
          <w:color w:val="121212"/>
          <w:sz w:val="22"/>
          <w:szCs w:val="22"/>
          <w:lang w:val="en-US"/>
        </w:rPr>
        <w:t xml:space="preserve">-291. </w:t>
      </w:r>
    </w:p>
    <w:p w14:paraId="6DA1558E"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proofErr w:type="gramStart"/>
      <w:r w:rsidRPr="00907B3C">
        <w:rPr>
          <w:rFonts w:ascii="Didot" w:hAnsi="Didot" w:cs="Didot"/>
          <w:color w:val="121212"/>
          <w:sz w:val="22"/>
          <w:szCs w:val="22"/>
          <w:lang w:val="en-US"/>
        </w:rPr>
        <w:t>World Health Organization.</w:t>
      </w:r>
      <w:proofErr w:type="gramEnd"/>
      <w:r w:rsidRPr="00907B3C">
        <w:rPr>
          <w:rFonts w:ascii="Didot" w:hAnsi="Didot" w:cs="Didot"/>
          <w:color w:val="121212"/>
          <w:sz w:val="22"/>
          <w:szCs w:val="22"/>
          <w:lang w:val="en-US"/>
        </w:rPr>
        <w:t xml:space="preserve"> Responding to intimate partner violence and sexual violence against women: WHO clinical and policy guidelines. http://apps.who.int/iris/bitstream/10665/85240/1 9789241548595_eng.pdf. Accessed July 11, 2014.</w:t>
      </w:r>
    </w:p>
    <w:p w14:paraId="615C1E39"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pPr>
      <w:proofErr w:type="gramStart"/>
      <w:r w:rsidRPr="00907B3C">
        <w:rPr>
          <w:rFonts w:ascii="Didot" w:hAnsi="Didot" w:cs="Didot"/>
          <w:color w:val="121212"/>
          <w:sz w:val="22"/>
          <w:szCs w:val="22"/>
          <w:lang w:val="en-US"/>
        </w:rPr>
        <w:t>World Health Organization/London School of Hygiene and Tropical Medicine.</w:t>
      </w:r>
      <w:proofErr w:type="gramEnd"/>
      <w:r w:rsidRPr="00907B3C">
        <w:rPr>
          <w:rFonts w:ascii="Didot" w:hAnsi="Didot" w:cs="Didot"/>
          <w:color w:val="121212"/>
          <w:sz w:val="22"/>
          <w:szCs w:val="22"/>
          <w:lang w:val="en-US"/>
        </w:rPr>
        <w:t xml:space="preserve"> Preventing intimate partner and sexual violence against women: taking acting and generating evidence. Geneva (Switzerland): World Health Organization; 2010.</w:t>
      </w:r>
    </w:p>
    <w:p w14:paraId="26005171" w14:textId="77777777" w:rsidR="00160E26" w:rsidRPr="00907B3C" w:rsidRDefault="00160E26"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proofErr w:type="gramStart"/>
      <w:r w:rsidRPr="00907B3C">
        <w:rPr>
          <w:rFonts w:ascii="Didot" w:hAnsi="Didot" w:cs="Didot"/>
          <w:color w:val="121212"/>
          <w:sz w:val="22"/>
          <w:szCs w:val="22"/>
          <w:lang w:val="en-US"/>
        </w:rPr>
        <w:t>World Health Organization.</w:t>
      </w:r>
      <w:proofErr w:type="gramEnd"/>
      <w:r w:rsidRPr="00907B3C">
        <w:rPr>
          <w:rFonts w:ascii="Didot" w:hAnsi="Didot" w:cs="Didot"/>
          <w:color w:val="121212"/>
          <w:sz w:val="22"/>
          <w:szCs w:val="22"/>
          <w:lang w:val="en-US"/>
        </w:rPr>
        <w:t xml:space="preserve"> WHO multi-country study on women’s health and domestic violence against women: summary report of initial results on prevalence, health outcomes and women’s responses. Geneva (Switzerland): World Health Organization; 2005.</w:t>
      </w:r>
    </w:p>
    <w:p w14:paraId="51321AF0" w14:textId="77777777" w:rsidR="00160E26" w:rsidRPr="006916FC" w:rsidRDefault="00160E26" w:rsidP="008A7E29">
      <w:pPr>
        <w:widowControl w:val="0"/>
        <w:pBdr>
          <w:bottom w:val="single" w:sz="12" w:space="1" w:color="auto"/>
        </w:pBdr>
        <w:autoSpaceDE w:val="0"/>
        <w:autoSpaceDN w:val="0"/>
        <w:adjustRightInd w:val="0"/>
        <w:spacing w:after="240"/>
        <w:jc w:val="both"/>
        <w:rPr>
          <w:rFonts w:ascii="Didot" w:hAnsi="Didot" w:cs="Didot"/>
          <w:color w:val="121212"/>
          <w:sz w:val="22"/>
          <w:szCs w:val="22"/>
          <w:lang w:val="en-US"/>
        </w:rPr>
      </w:pPr>
    </w:p>
    <w:p w14:paraId="664078F7" w14:textId="77777777" w:rsidR="00160E26" w:rsidRPr="006916FC" w:rsidRDefault="00160E26" w:rsidP="008A7E29">
      <w:pPr>
        <w:widowControl w:val="0"/>
        <w:autoSpaceDE w:val="0"/>
        <w:autoSpaceDN w:val="0"/>
        <w:adjustRightInd w:val="0"/>
        <w:spacing w:after="240"/>
        <w:jc w:val="both"/>
        <w:rPr>
          <w:rFonts w:ascii="Didot" w:hAnsi="Didot" w:cs="Didot"/>
          <w:color w:val="121212"/>
          <w:sz w:val="22"/>
          <w:szCs w:val="22"/>
          <w:lang w:val="en-US"/>
        </w:rPr>
      </w:pPr>
    </w:p>
    <w:p w14:paraId="64E18DC7" w14:textId="77777777" w:rsidR="00160E26" w:rsidRPr="006916FC" w:rsidRDefault="00160E26" w:rsidP="008A7E29">
      <w:pPr>
        <w:widowControl w:val="0"/>
        <w:autoSpaceDE w:val="0"/>
        <w:autoSpaceDN w:val="0"/>
        <w:adjustRightInd w:val="0"/>
        <w:spacing w:after="240"/>
        <w:jc w:val="both"/>
        <w:rPr>
          <w:rFonts w:ascii="Didot" w:hAnsi="Didot" w:cs="Didot"/>
          <w:color w:val="121212"/>
          <w:sz w:val="22"/>
          <w:szCs w:val="22"/>
          <w:lang w:val="en-US"/>
        </w:rPr>
      </w:pPr>
    </w:p>
    <w:p w14:paraId="4754369D" w14:textId="77777777" w:rsidR="00343493" w:rsidRPr="006916FC" w:rsidRDefault="00343493" w:rsidP="008A7E29">
      <w:pPr>
        <w:pStyle w:val="Heading2"/>
        <w:jc w:val="both"/>
        <w:rPr>
          <w:rFonts w:ascii="Didot" w:hAnsi="Didot" w:cs="Didot"/>
          <w:color w:val="auto"/>
          <w:sz w:val="34"/>
          <w:szCs w:val="34"/>
        </w:rPr>
      </w:pPr>
      <w:bookmarkStart w:id="100" w:name="_Toc272639930"/>
      <w:bookmarkStart w:id="101" w:name="_Toc272645053"/>
      <w:r w:rsidRPr="006916FC">
        <w:rPr>
          <w:rFonts w:ascii="Didot" w:hAnsi="Didot" w:cs="Didot"/>
          <w:color w:val="auto"/>
          <w:sz w:val="34"/>
          <w:szCs w:val="34"/>
        </w:rPr>
        <w:t>Suneeta Krishnan</w:t>
      </w:r>
      <w:bookmarkEnd w:id="100"/>
      <w:bookmarkEnd w:id="101"/>
    </w:p>
    <w:p w14:paraId="106764F1"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04C002B3" w14:textId="77777777" w:rsidR="00343493" w:rsidRPr="006916FC" w:rsidRDefault="00343493"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55344273" w14:textId="77777777" w:rsidR="00343493" w:rsidRPr="00907B3C" w:rsidRDefault="00343493"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Dr. Suneeta Krishnan is a social epidemiologist with 15 years of research and program and policy development experience in gender and health equity promotion in India. She is a senior researcher in RTI International's Women's Global Health Imperative (WGHI), the technical lead of RTI India, and associate director of the RTI Global Gender Center. Dr. Krishnan is also Adjunct Associate Professor at the St. John's Research Institute in Bangalore, India and, since 2014, is a member of the Gender and Rights Advisory Panel of the World Health Organization's Department of Reproductive Health and Research. She is a recipient of the Presidential Early Career Award for Scientists and Engineers (2004).</w:t>
      </w:r>
    </w:p>
    <w:p w14:paraId="50E6232C" w14:textId="77777777" w:rsidR="00343493" w:rsidRPr="00907B3C" w:rsidRDefault="00343493" w:rsidP="008A7E29">
      <w:pPr>
        <w:widowControl w:val="0"/>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Dr. Krishnan's training and expertise are in social epidemiology, biostatistics, and medical anthropology. Her research has focused on the development, evaluation and scale-up of programs and policies to promote gender equity and reduce adverse health outcomes and health disparities among women in India. She is leading several projects in collaboration with non-governmental organizations and municipal and State governments in India that use health as an entry point to prevent and respond to gender-based violence, equip women with information and skills to resist and overcome violence, and promote women's sexual and reproductive health and rights. Her work has been funded by the Indian Council of Medical Research, US National Institutes of Health, </w:t>
      </w:r>
      <w:proofErr w:type="gramStart"/>
      <w:r w:rsidRPr="00907B3C">
        <w:rPr>
          <w:rFonts w:ascii="Didot" w:hAnsi="Didot" w:cs="Didot"/>
          <w:color w:val="121212"/>
          <w:sz w:val="22"/>
          <w:szCs w:val="22"/>
          <w:lang w:val="en-US"/>
        </w:rPr>
        <w:t>US</w:t>
      </w:r>
      <w:proofErr w:type="gramEnd"/>
      <w:r w:rsidRPr="00907B3C">
        <w:rPr>
          <w:rFonts w:ascii="Didot" w:hAnsi="Didot" w:cs="Didot"/>
          <w:color w:val="121212"/>
          <w:sz w:val="22"/>
          <w:szCs w:val="22"/>
          <w:lang w:val="en-US"/>
        </w:rPr>
        <w:t xml:space="preserve"> Agency for International Development and private foundations.</w:t>
      </w:r>
    </w:p>
    <w:p w14:paraId="27E03051" w14:textId="77777777" w:rsidR="00343493" w:rsidRPr="00907B3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Dr. Krishnan, who is fluent in several Indian languages, divides her time between Bangalore and San Francisco.</w:t>
      </w:r>
    </w:p>
    <w:p w14:paraId="5EAA6B64" w14:textId="77777777" w:rsidR="00F11129" w:rsidRPr="006916FC" w:rsidRDefault="00F11129" w:rsidP="008A7E29">
      <w:pPr>
        <w:widowControl w:val="0"/>
        <w:pBdr>
          <w:bottom w:val="single" w:sz="6" w:space="1" w:color="auto"/>
        </w:pBdr>
        <w:autoSpaceDE w:val="0"/>
        <w:autoSpaceDN w:val="0"/>
        <w:adjustRightInd w:val="0"/>
        <w:spacing w:after="240"/>
        <w:jc w:val="both"/>
        <w:rPr>
          <w:rFonts w:ascii="Didot" w:hAnsi="Didot" w:cs="Didot"/>
          <w:color w:val="121212"/>
          <w:lang w:val="en-US"/>
        </w:rPr>
      </w:pPr>
    </w:p>
    <w:p w14:paraId="4AE6BE9C" w14:textId="77777777" w:rsidR="00F11129" w:rsidRPr="006916FC" w:rsidRDefault="00F11129" w:rsidP="008A7E29">
      <w:pPr>
        <w:widowControl w:val="0"/>
        <w:autoSpaceDE w:val="0"/>
        <w:autoSpaceDN w:val="0"/>
        <w:adjustRightInd w:val="0"/>
        <w:spacing w:after="240"/>
        <w:jc w:val="both"/>
        <w:rPr>
          <w:rFonts w:ascii="Didot" w:hAnsi="Didot" w:cs="Didot"/>
          <w:color w:val="121212"/>
          <w:lang w:val="en-US"/>
        </w:rPr>
      </w:pPr>
    </w:p>
    <w:p w14:paraId="112B3400"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Abstract</w:t>
      </w:r>
    </w:p>
    <w:p w14:paraId="4176A8DC" w14:textId="77777777" w:rsidR="00343493" w:rsidRPr="006916FC" w:rsidRDefault="00343493"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Using Health as an Entry Point to Address Intimate Partner Violence: Insights from India</w:t>
      </w:r>
    </w:p>
    <w:p w14:paraId="0038D6FE" w14:textId="77777777" w:rsidR="00343493" w:rsidRPr="00907B3C" w:rsidRDefault="00343493"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With extraordinarily high levels of intimate partner violence (IPV) against women, India needs effective policy and programmatic interventions. Although Indian women who experience IPV do not typically seek help from police or support agencies, they will seek health care for injuries as well as a range of other services. In fact, women's utilization of reproductive health services (including family planning and maternal and child health services) has increased substantially across </w:t>
      </w:r>
      <w:r w:rsidRPr="00907B3C">
        <w:rPr>
          <w:rFonts w:ascii="Didot" w:hAnsi="Didot" w:cs="Didot"/>
          <w:color w:val="121212"/>
          <w:sz w:val="22"/>
          <w:szCs w:val="22"/>
          <w:lang w:val="en-US"/>
        </w:rPr>
        <w:lastRenderedPageBreak/>
        <w:t xml:space="preserve">India over the past few decades, and has made these services important entry points for IPV prevention and management. Moreover, given that IPV is known to increase the risk of adverse reproductive, maternal, and child health outcomes, failure to address the issue in these settings threatens the effectiveness of women's health promotion efforts. Research has demonstrated the feasibility, acceptability and potential effectiveness of IPV prevention and management interventions within and by the public primary and tertiary health care systems in India. Research and </w:t>
      </w:r>
      <w:proofErr w:type="gramStart"/>
      <w:r w:rsidRPr="00907B3C">
        <w:rPr>
          <w:rFonts w:ascii="Didot" w:hAnsi="Didot" w:cs="Didot"/>
          <w:color w:val="121212"/>
          <w:sz w:val="22"/>
          <w:szCs w:val="22"/>
          <w:lang w:val="en-US"/>
        </w:rPr>
        <w:t>small scale</w:t>
      </w:r>
      <w:proofErr w:type="gramEnd"/>
      <w:r w:rsidRPr="00907B3C">
        <w:rPr>
          <w:rFonts w:ascii="Didot" w:hAnsi="Didot" w:cs="Didot"/>
          <w:color w:val="121212"/>
          <w:sz w:val="22"/>
          <w:szCs w:val="22"/>
          <w:lang w:val="en-US"/>
        </w:rPr>
        <w:t xml:space="preserve"> programmatic efforts have also underscored the need for policy-level responses to support continued evidence generation and scale-up of successful strategies. In this presentation, I begin by describing the prevalence of IPV and related adverse outcomes in India, and then go on to highlight research and programmatic experiences that support the use of health as an entry point to address IPV. I conclude by proposing four key recommendations to policy-makers, namely, articulation of a commitment to health systems responses to IPV, development of guidelines and protocols for health systems responses, allocation of resources to build systems-level capacities, strengthen inter-sectoral linkages to improve access to health and non-health support services, and establish accountability mechanisms, and support of research and evidence generation on health-based interventions to address IPV.</w:t>
      </w:r>
    </w:p>
    <w:p w14:paraId="1F9C844D" w14:textId="77777777" w:rsidR="00F11129" w:rsidRPr="006916FC" w:rsidRDefault="00F11129"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744F458A" w14:textId="51273FA7" w:rsidR="00B86B1F" w:rsidRPr="006916FC" w:rsidRDefault="00EE0F6C" w:rsidP="008A7E29">
      <w:pPr>
        <w:widowControl w:val="0"/>
        <w:autoSpaceDE w:val="0"/>
        <w:autoSpaceDN w:val="0"/>
        <w:adjustRightInd w:val="0"/>
        <w:spacing w:after="240"/>
        <w:jc w:val="both"/>
        <w:rPr>
          <w:rFonts w:ascii="Didot" w:hAnsi="Didot" w:cs="Didot"/>
          <w:b/>
          <w:lang w:val="en-US"/>
        </w:rPr>
      </w:pPr>
      <w:r w:rsidRPr="006916FC">
        <w:rPr>
          <w:rFonts w:ascii="Didot" w:hAnsi="Didot" w:cs="Didot"/>
          <w:b/>
          <w:lang w:val="en-US"/>
        </w:rPr>
        <w:t>Summary</w:t>
      </w:r>
    </w:p>
    <w:p w14:paraId="528C3007" w14:textId="4960B7AD" w:rsidR="00EE0F6C" w:rsidRPr="006916FC" w:rsidRDefault="00B86B1F"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Using Health as an Entry Point to Address Intimate Partner Violence: Insights from India</w:t>
      </w:r>
      <w:r w:rsidR="00EE0F6C" w:rsidRPr="006916FC">
        <w:rPr>
          <w:rFonts w:ascii="Didot" w:hAnsi="Didot" w:cs="Didot"/>
          <w:b/>
          <w:lang w:val="en-US"/>
        </w:rPr>
        <w:t xml:space="preserve"> </w:t>
      </w:r>
    </w:p>
    <w:p w14:paraId="671B4B4A" w14:textId="77777777" w:rsidR="00160E26" w:rsidRPr="006916FC" w:rsidRDefault="00160E26" w:rsidP="008A7E29">
      <w:pPr>
        <w:jc w:val="both"/>
        <w:rPr>
          <w:rFonts w:ascii="Didot" w:hAnsi="Didot" w:cs="Didot"/>
          <w:b/>
          <w:sz w:val="22"/>
          <w:szCs w:val="22"/>
        </w:rPr>
        <w:sectPr w:rsidR="00160E26" w:rsidRPr="006916FC" w:rsidSect="003D6AB9">
          <w:type w:val="continuous"/>
          <w:pgSz w:w="11900" w:h="16840"/>
          <w:pgMar w:top="1440" w:right="1800" w:bottom="1440" w:left="1800" w:header="708" w:footer="708" w:gutter="0"/>
          <w:cols w:space="708"/>
          <w:docGrid w:linePitch="360"/>
        </w:sectPr>
      </w:pPr>
    </w:p>
    <w:p w14:paraId="1D24526B" w14:textId="77777777" w:rsidR="00EE0F6C" w:rsidRPr="00907B3C" w:rsidRDefault="00EE0F6C" w:rsidP="008A7E29">
      <w:pPr>
        <w:pStyle w:val="ListParagraph"/>
        <w:numPr>
          <w:ilvl w:val="0"/>
          <w:numId w:val="23"/>
        </w:numPr>
        <w:jc w:val="both"/>
        <w:rPr>
          <w:rFonts w:ascii="Didot" w:hAnsi="Didot" w:cs="Didot"/>
          <w:sz w:val="22"/>
          <w:szCs w:val="22"/>
        </w:rPr>
      </w:pPr>
      <w:r w:rsidRPr="00907B3C">
        <w:rPr>
          <w:rFonts w:ascii="Didot" w:hAnsi="Didot" w:cs="Didot"/>
          <w:b/>
          <w:sz w:val="22"/>
          <w:szCs w:val="22"/>
        </w:rPr>
        <w:lastRenderedPageBreak/>
        <w:t>Introduction:</w:t>
      </w:r>
      <w:r w:rsidRPr="00907B3C">
        <w:rPr>
          <w:rFonts w:ascii="Didot" w:hAnsi="Didot" w:cs="Didot"/>
          <w:sz w:val="22"/>
          <w:szCs w:val="22"/>
        </w:rPr>
        <w:t xml:space="preserve"> </w:t>
      </w:r>
      <w:r w:rsidRPr="00907B3C">
        <w:rPr>
          <w:rFonts w:ascii="Didot" w:hAnsi="Didot" w:cs="Didot"/>
          <w:b/>
          <w:bCs/>
          <w:sz w:val="22"/>
          <w:szCs w:val="22"/>
        </w:rPr>
        <w:t>Intimate Partner Violence - a Global Priority</w:t>
      </w:r>
    </w:p>
    <w:p w14:paraId="157A8201" w14:textId="77777777" w:rsidR="00EE0F6C" w:rsidRPr="00907B3C" w:rsidRDefault="00EE0F6C" w:rsidP="008A7E29">
      <w:pPr>
        <w:pStyle w:val="ListParagraph"/>
        <w:jc w:val="both"/>
        <w:rPr>
          <w:rFonts w:ascii="Didot" w:hAnsi="Didot" w:cs="Didot"/>
          <w:sz w:val="22"/>
          <w:szCs w:val="22"/>
        </w:rPr>
      </w:pPr>
    </w:p>
    <w:p w14:paraId="17DA1D82" w14:textId="77777777" w:rsidR="00EE0F6C" w:rsidRPr="00907B3C" w:rsidRDefault="00EE0F6C" w:rsidP="008A7E29">
      <w:pPr>
        <w:pStyle w:val="ListParagraph"/>
        <w:jc w:val="both"/>
        <w:rPr>
          <w:rFonts w:ascii="Didot" w:hAnsi="Didot" w:cs="Didot"/>
          <w:sz w:val="22"/>
          <w:szCs w:val="22"/>
        </w:rPr>
      </w:pPr>
      <w:r w:rsidRPr="00907B3C">
        <w:rPr>
          <w:rFonts w:ascii="Didot" w:hAnsi="Didot" w:cs="Didot"/>
          <w:sz w:val="22"/>
          <w:szCs w:val="22"/>
        </w:rPr>
        <w:t xml:space="preserve">Intimate partner violence (IPV) - physical, sexual, or emotional abuse typically perpetrated against women by a husband or other intimate partner – is one of the most common forms of violence against women worldwide and widely recognized as a major health and human rights challenge. Reducing IPV must be a component of efforts to reduce global violence by 50% in the next 30 years. </w:t>
      </w:r>
    </w:p>
    <w:p w14:paraId="25AAC019" w14:textId="77777777" w:rsidR="00EE0F6C" w:rsidRPr="00907B3C" w:rsidRDefault="00EE0F6C" w:rsidP="008A7E29">
      <w:pPr>
        <w:pStyle w:val="ListParagraph"/>
        <w:jc w:val="both"/>
        <w:rPr>
          <w:rFonts w:ascii="Didot" w:hAnsi="Didot" w:cs="Didot"/>
          <w:sz w:val="22"/>
          <w:szCs w:val="22"/>
        </w:rPr>
      </w:pPr>
    </w:p>
    <w:p w14:paraId="2E682879" w14:textId="6AD8FB4F" w:rsidR="00B34EBC" w:rsidRDefault="00EE0F6C" w:rsidP="00B34EBC">
      <w:pPr>
        <w:pStyle w:val="ListParagraph"/>
        <w:jc w:val="both"/>
        <w:rPr>
          <w:rFonts w:ascii="Didot" w:hAnsi="Didot" w:cs="Didot"/>
          <w:sz w:val="22"/>
          <w:szCs w:val="22"/>
        </w:rPr>
      </w:pPr>
      <w:r w:rsidRPr="00907B3C">
        <w:rPr>
          <w:rFonts w:ascii="Didot" w:hAnsi="Didot" w:cs="Didot"/>
          <w:sz w:val="22"/>
          <w:szCs w:val="22"/>
        </w:rPr>
        <w:t xml:space="preserve">Indeed, recognition of the importance of addressing all forms of violence against women has been enshrined in the Convention for the Elimination of Discrimination against Women (CEDAW), which was adopted by the UN General Assembly (with 130 votes in favor, none against and 10 abstentions) in 1979. To further strengthen the implementation of CEDAW, the UN General Assembly adopted the Declaration on the Elimination of Violence against Women in 1993. A number of subsequent global statements and actions (e.g., resolutions on violence as a public health problem, the UN Secretary General’s campaign - UNiTE to End Violence against Women) have continued to emphasize the importance of addressing VAW. </w:t>
      </w:r>
    </w:p>
    <w:p w14:paraId="195B9E6A" w14:textId="212DE563" w:rsidR="00B34EBC" w:rsidRPr="00B34EBC" w:rsidRDefault="00B34EBC" w:rsidP="00B34EBC">
      <w:pPr>
        <w:pStyle w:val="ListParagraph"/>
        <w:jc w:val="both"/>
        <w:rPr>
          <w:rFonts w:ascii="Didot" w:hAnsi="Didot" w:cs="Didot"/>
          <w:sz w:val="22"/>
          <w:szCs w:val="22"/>
        </w:rPr>
      </w:pPr>
    </w:p>
    <w:p w14:paraId="449900F5" w14:textId="77777777" w:rsidR="00EE0F6C" w:rsidRPr="00907B3C" w:rsidRDefault="00EE0F6C" w:rsidP="008A7E29">
      <w:pPr>
        <w:pStyle w:val="ListParagraph"/>
        <w:jc w:val="both"/>
        <w:rPr>
          <w:rFonts w:ascii="Didot" w:hAnsi="Didot" w:cs="Didot"/>
          <w:sz w:val="22"/>
          <w:szCs w:val="22"/>
        </w:rPr>
      </w:pPr>
    </w:p>
    <w:p w14:paraId="3CC688D3" w14:textId="78C5B8CA" w:rsidR="00EE0F6C" w:rsidRPr="00907B3C" w:rsidRDefault="00B34EBC" w:rsidP="008A7E29">
      <w:pPr>
        <w:pStyle w:val="ListParagraph"/>
        <w:numPr>
          <w:ilvl w:val="0"/>
          <w:numId w:val="23"/>
        </w:numPr>
        <w:jc w:val="both"/>
        <w:rPr>
          <w:rFonts w:ascii="Didot" w:hAnsi="Didot" w:cs="Didot"/>
          <w:sz w:val="22"/>
          <w:szCs w:val="22"/>
        </w:rPr>
      </w:pPr>
      <w:r>
        <w:rPr>
          <w:rFonts w:ascii="Didot" w:hAnsi="Didot" w:cs="Didot"/>
          <w:b/>
          <w:sz w:val="22"/>
          <w:szCs w:val="22"/>
        </w:rPr>
        <w:br w:type="column"/>
      </w:r>
      <w:r w:rsidR="00EE0F6C" w:rsidRPr="00907B3C">
        <w:rPr>
          <w:rFonts w:ascii="Didot" w:hAnsi="Didot" w:cs="Didot"/>
          <w:b/>
          <w:sz w:val="22"/>
          <w:szCs w:val="22"/>
        </w:rPr>
        <w:lastRenderedPageBreak/>
        <w:t>IPV in India: Scale and Status of Current National Response</w:t>
      </w:r>
    </w:p>
    <w:p w14:paraId="277BEDFB" w14:textId="77777777" w:rsidR="00EE0F6C" w:rsidRPr="00907B3C" w:rsidRDefault="00EE0F6C" w:rsidP="008A7E29">
      <w:pPr>
        <w:pStyle w:val="ListParagraph"/>
        <w:jc w:val="both"/>
        <w:rPr>
          <w:rFonts w:ascii="Didot" w:hAnsi="Didot" w:cs="Didot"/>
          <w:sz w:val="22"/>
          <w:szCs w:val="22"/>
          <w:u w:val="single"/>
        </w:rPr>
      </w:pPr>
    </w:p>
    <w:p w14:paraId="58657C2A" w14:textId="77777777" w:rsidR="00EE0F6C" w:rsidRPr="00907B3C" w:rsidRDefault="00EE0F6C" w:rsidP="008A7E29">
      <w:pPr>
        <w:pStyle w:val="ListParagraph"/>
        <w:jc w:val="both"/>
        <w:rPr>
          <w:rFonts w:ascii="Didot" w:hAnsi="Didot" w:cs="Didot"/>
          <w:sz w:val="22"/>
          <w:szCs w:val="22"/>
        </w:rPr>
      </w:pPr>
      <w:r w:rsidRPr="00907B3C">
        <w:rPr>
          <w:rFonts w:ascii="Didot" w:hAnsi="Didot" w:cs="Didot"/>
          <w:sz w:val="22"/>
          <w:szCs w:val="22"/>
        </w:rPr>
        <w:t>The prevalence of IPV in India is staggeringly high. According to the National Crime Records Bureau (NCRB), there has been a 120% increase in the incidence of crimes against women over the last decade.</w:t>
      </w:r>
      <w:r w:rsidRPr="00907B3C">
        <w:rPr>
          <w:rStyle w:val="EndnoteReference"/>
          <w:rFonts w:ascii="Didot" w:hAnsi="Didot" w:cs="Didot"/>
          <w:sz w:val="22"/>
          <w:szCs w:val="22"/>
        </w:rPr>
        <w:endnoteReference w:id="32"/>
      </w:r>
      <w:r w:rsidRPr="00907B3C">
        <w:rPr>
          <w:rFonts w:ascii="Didot" w:hAnsi="Didot" w:cs="Didot"/>
          <w:sz w:val="22"/>
          <w:szCs w:val="22"/>
        </w:rPr>
        <w:t xml:space="preserve"> (Note: evidence suggests that only 2% of women who experience violence disclose to a formal source such as the police.</w:t>
      </w:r>
      <w:r w:rsidRPr="00907B3C">
        <w:rPr>
          <w:rStyle w:val="EndnoteReference"/>
          <w:rFonts w:ascii="Didot" w:hAnsi="Didot" w:cs="Didot"/>
          <w:sz w:val="22"/>
          <w:szCs w:val="22"/>
        </w:rPr>
        <w:endnoteReference w:id="33"/>
      </w:r>
      <w:r w:rsidRPr="00907B3C">
        <w:rPr>
          <w:rFonts w:ascii="Didot" w:hAnsi="Didot" w:cs="Didot"/>
          <w:sz w:val="22"/>
          <w:szCs w:val="22"/>
        </w:rPr>
        <w:t>) NCRB data also reveal that an Indian woman is most unsafe in her marital home, with cruelty inflicted by husbands or his relatives constituting 44% of all crimes against women. The decade-old National Family Health Survey (2005-2006) found that approximately 40% of a representative sample of married women in the reproductive age group (15-49 years) had ever experienced IPV by their husband at some point in their married lives. In the southern India city of Bangalore, our longitudinal research with young (16-25 year old) married women residing in low income areas found that over half had been hit, kicked, or beaten by their husband in the six months prior to study enrolment; over half of those who disclosed violence at enrolment continued to report violence over the 2 year follow-up and 20% newly disclosed violence during this period.</w:t>
      </w:r>
      <w:r w:rsidRPr="00907B3C">
        <w:rPr>
          <w:rStyle w:val="EndnoteReference"/>
          <w:rFonts w:ascii="Didot" w:hAnsi="Didot" w:cs="Didot"/>
          <w:sz w:val="22"/>
          <w:szCs w:val="22"/>
        </w:rPr>
        <w:endnoteReference w:id="34"/>
      </w:r>
      <w:r w:rsidRPr="00907B3C">
        <w:rPr>
          <w:rFonts w:ascii="Didot" w:hAnsi="Didot" w:cs="Didot"/>
          <w:sz w:val="22"/>
          <w:szCs w:val="22"/>
        </w:rPr>
        <w:t xml:space="preserve"> </w:t>
      </w:r>
    </w:p>
    <w:p w14:paraId="48594A1F" w14:textId="77777777" w:rsidR="00EE0F6C" w:rsidRPr="00907B3C" w:rsidRDefault="00EE0F6C" w:rsidP="008A7E29">
      <w:pPr>
        <w:pStyle w:val="ListParagraph"/>
        <w:jc w:val="both"/>
        <w:rPr>
          <w:rFonts w:ascii="Didot" w:hAnsi="Didot" w:cs="Didot"/>
          <w:sz w:val="22"/>
          <w:szCs w:val="22"/>
        </w:rPr>
      </w:pPr>
    </w:p>
    <w:p w14:paraId="247D7290" w14:textId="77777777" w:rsidR="00EE0F6C" w:rsidRPr="00907B3C" w:rsidRDefault="00EE0F6C" w:rsidP="008A7E29">
      <w:pPr>
        <w:pStyle w:val="ListParagraph"/>
        <w:jc w:val="both"/>
        <w:rPr>
          <w:rFonts w:ascii="Didot" w:hAnsi="Didot" w:cs="Didot"/>
          <w:sz w:val="22"/>
          <w:szCs w:val="22"/>
        </w:rPr>
      </w:pPr>
      <w:r w:rsidRPr="00907B3C">
        <w:rPr>
          <w:rFonts w:ascii="Didot" w:hAnsi="Didot" w:cs="Didot"/>
          <w:sz w:val="22"/>
          <w:szCs w:val="22"/>
        </w:rPr>
        <w:t>Global attention to the issue of violence against women and girls in India has increased dramatically in the past few years, sparked by the death of a young woman in New Delhi in December 2012. This attention has forced a national conversation about the scale and severity of violence against women and the status of women in India more broadly. Of note, the Prime Minister addressed the issue during his address to the nation on August 15, 2014, India’s Independence Day, noting that “when we hear news reports of rapes, our heads hang in shame.”</w:t>
      </w:r>
      <w:r w:rsidRPr="00907B3C">
        <w:rPr>
          <w:rStyle w:val="EndnoteReference"/>
          <w:rFonts w:ascii="Didot" w:hAnsi="Didot" w:cs="Didot"/>
          <w:sz w:val="22"/>
          <w:szCs w:val="22"/>
        </w:rPr>
        <w:endnoteReference w:id="35"/>
      </w:r>
    </w:p>
    <w:p w14:paraId="7BA0B5FB" w14:textId="77777777" w:rsidR="00EE0F6C" w:rsidRPr="00907B3C" w:rsidRDefault="00EE0F6C" w:rsidP="008A7E29">
      <w:pPr>
        <w:pStyle w:val="ListParagraph"/>
        <w:jc w:val="both"/>
        <w:rPr>
          <w:rFonts w:ascii="Didot" w:hAnsi="Didot" w:cs="Didot"/>
          <w:sz w:val="22"/>
          <w:szCs w:val="22"/>
        </w:rPr>
      </w:pPr>
    </w:p>
    <w:p w14:paraId="5F725CD0" w14:textId="77777777" w:rsidR="00EE0F6C" w:rsidRPr="00907B3C" w:rsidRDefault="00EE0F6C" w:rsidP="008A7E29">
      <w:pPr>
        <w:pStyle w:val="ListParagraph"/>
        <w:jc w:val="both"/>
        <w:rPr>
          <w:rFonts w:ascii="Didot" w:hAnsi="Didot" w:cs="Didot"/>
          <w:sz w:val="22"/>
          <w:szCs w:val="22"/>
        </w:rPr>
      </w:pPr>
      <w:r w:rsidRPr="00907B3C">
        <w:rPr>
          <w:rFonts w:ascii="Didot" w:hAnsi="Didot" w:cs="Didot"/>
          <w:sz w:val="22"/>
          <w:szCs w:val="22"/>
        </w:rPr>
        <w:t xml:space="preserve">Although this acknowledgement of violence against women is an important development, it is not enough. India urgently needs effective policy and programmatic interventions. The country is a signatory to CEDAW and </w:t>
      </w:r>
      <w:proofErr w:type="gramStart"/>
      <w:r w:rsidRPr="00907B3C">
        <w:rPr>
          <w:rFonts w:ascii="Didot" w:hAnsi="Didot" w:cs="Didot"/>
          <w:sz w:val="22"/>
          <w:szCs w:val="22"/>
        </w:rPr>
        <w:t>national-level responses are framed by a range of laws to promote gender equality and combat discrimination and violence against girls and women</w:t>
      </w:r>
      <w:proofErr w:type="gramEnd"/>
      <w:r w:rsidRPr="00907B3C">
        <w:rPr>
          <w:rFonts w:ascii="Didot" w:hAnsi="Didot" w:cs="Didot"/>
          <w:sz w:val="22"/>
          <w:szCs w:val="22"/>
        </w:rPr>
        <w:t xml:space="preserve">. These include the Dowry Prohibition Act, 1961, and the 2005 Protection of Women from Domestic Violence Act. More recently, in 2012, the National Mission for the Empowerment of Women (NMEW) was launched with the goal of promoting inter-sectoral convergence of all women-focused programs across Ministries. In the following year, the Sexual Harassment of Women at the Workplace (Prevention, Prohibition and Redressal) Act was passed. As part of the implementation of this law, the national government announced that it </w:t>
      </w:r>
      <w:proofErr w:type="gramStart"/>
      <w:r w:rsidRPr="00907B3C">
        <w:rPr>
          <w:rFonts w:ascii="Didot" w:hAnsi="Didot" w:cs="Didot"/>
          <w:sz w:val="22"/>
          <w:szCs w:val="22"/>
        </w:rPr>
        <w:t>will</w:t>
      </w:r>
      <w:proofErr w:type="gramEnd"/>
      <w:r w:rsidRPr="00907B3C">
        <w:rPr>
          <w:rFonts w:ascii="Didot" w:hAnsi="Didot" w:cs="Didot"/>
          <w:sz w:val="22"/>
          <w:szCs w:val="22"/>
        </w:rPr>
        <w:t xml:space="preserve"> establish 100 One Stop Crisis Centres and create the Nirbhaya Fund of 1000 crore Rupees (or 98,400 British Pound Sterling) to respond to violence against women and girls. </w:t>
      </w:r>
    </w:p>
    <w:p w14:paraId="415F7081" w14:textId="77777777" w:rsidR="00EE0F6C" w:rsidRPr="00907B3C" w:rsidRDefault="00EE0F6C" w:rsidP="008A7E29">
      <w:pPr>
        <w:pStyle w:val="ListParagraph"/>
        <w:jc w:val="both"/>
        <w:rPr>
          <w:rFonts w:ascii="Didot" w:hAnsi="Didot" w:cs="Didot"/>
          <w:sz w:val="22"/>
          <w:szCs w:val="22"/>
        </w:rPr>
      </w:pPr>
    </w:p>
    <w:p w14:paraId="056BCFA5" w14:textId="77777777" w:rsidR="00EE0F6C" w:rsidRPr="00907B3C" w:rsidRDefault="00EE0F6C" w:rsidP="008A7E29">
      <w:pPr>
        <w:pStyle w:val="ListParagraph"/>
        <w:jc w:val="both"/>
        <w:rPr>
          <w:rFonts w:ascii="Didot" w:hAnsi="Didot" w:cs="Didot"/>
          <w:sz w:val="22"/>
          <w:szCs w:val="22"/>
        </w:rPr>
      </w:pPr>
      <w:r w:rsidRPr="00907B3C">
        <w:rPr>
          <w:rFonts w:ascii="Didot" w:hAnsi="Didot" w:cs="Didot"/>
          <w:sz w:val="22"/>
          <w:szCs w:val="22"/>
        </w:rPr>
        <w:t>At the local level, governmental and non-governmental agencies (largely urban) provide a range of supportive services to women, including counseling, shelter, vocational training, and income-generation opportunities.</w:t>
      </w:r>
      <w:r w:rsidRPr="00907B3C">
        <w:rPr>
          <w:rStyle w:val="EndnoteReference"/>
          <w:rFonts w:ascii="Didot" w:hAnsi="Didot" w:cs="Didot"/>
          <w:sz w:val="22"/>
          <w:szCs w:val="22"/>
        </w:rPr>
        <w:endnoteReference w:id="36"/>
      </w:r>
      <w:r w:rsidRPr="00907B3C">
        <w:rPr>
          <w:rFonts w:ascii="Didot" w:hAnsi="Didot" w:cs="Didot"/>
          <w:sz w:val="22"/>
          <w:szCs w:val="22"/>
        </w:rPr>
        <w:t xml:space="preserve"> Yet, the majority of women are unaware of these services. They tend to seek external help only after enduring multiple acts of </w:t>
      </w:r>
      <w:r w:rsidRPr="00907B3C">
        <w:rPr>
          <w:rFonts w:ascii="Didot" w:hAnsi="Didot" w:cs="Didot"/>
          <w:sz w:val="22"/>
          <w:szCs w:val="22"/>
        </w:rPr>
        <w:lastRenderedPageBreak/>
        <w:t>violence, and, often, when it is too late. The onus of both learning about these services and utilizing them rests entirely on women.</w:t>
      </w:r>
      <w:r w:rsidRPr="00907B3C">
        <w:rPr>
          <w:rStyle w:val="EndnoteReference"/>
          <w:rFonts w:ascii="Didot" w:hAnsi="Didot" w:cs="Didot"/>
          <w:sz w:val="22"/>
          <w:szCs w:val="22"/>
        </w:rPr>
        <w:endnoteReference w:id="37"/>
      </w:r>
      <w:r w:rsidRPr="00907B3C">
        <w:rPr>
          <w:rFonts w:ascii="Didot" w:hAnsi="Didot" w:cs="Didot"/>
          <w:sz w:val="22"/>
          <w:szCs w:val="22"/>
        </w:rPr>
        <w:t xml:space="preserve"> Overall, little evidence is available to suggest that these interventions are effective in reducing the incidence of violence and/or responding to the needs of victims.</w:t>
      </w:r>
    </w:p>
    <w:p w14:paraId="1409AB0F" w14:textId="77777777" w:rsidR="00EE0F6C" w:rsidRPr="00907B3C" w:rsidRDefault="00EE0F6C" w:rsidP="008A7E29">
      <w:pPr>
        <w:pStyle w:val="ListParagraph"/>
        <w:jc w:val="both"/>
        <w:rPr>
          <w:rFonts w:ascii="Didot" w:hAnsi="Didot" w:cs="Didot"/>
          <w:sz w:val="22"/>
          <w:szCs w:val="22"/>
        </w:rPr>
      </w:pPr>
    </w:p>
    <w:p w14:paraId="51F4282E" w14:textId="77777777" w:rsidR="00EE0F6C" w:rsidRPr="00907B3C" w:rsidRDefault="00EE0F6C" w:rsidP="008A7E29">
      <w:pPr>
        <w:pStyle w:val="ListParagraph"/>
        <w:jc w:val="both"/>
        <w:rPr>
          <w:rFonts w:ascii="Didot" w:hAnsi="Didot" w:cs="Didot"/>
          <w:sz w:val="22"/>
          <w:szCs w:val="22"/>
        </w:rPr>
      </w:pPr>
      <w:r w:rsidRPr="00907B3C">
        <w:rPr>
          <w:rFonts w:ascii="Didot" w:hAnsi="Didot" w:cs="Didot"/>
          <w:sz w:val="22"/>
          <w:szCs w:val="22"/>
        </w:rPr>
        <w:t>Although Indian women who experience IPV do not typically seek help from police or support agencies, they do seek health care for violence-related injuries as well as a host of other reasons. For example, women’s utilization of reproductive health services (including family planning and maternal and child health services) has increased substantially across India over the past few decades, and has made these services important entry points for IPV prevention and management. Moreover, given that IPV is known to increase the risk of adverse reproductive, maternal, and child health outcomes, failure to address the issue in these settings threatens the effectiveness of women’s health promotion efforts.</w:t>
      </w:r>
    </w:p>
    <w:p w14:paraId="1EB63C5D" w14:textId="77777777" w:rsidR="00EE0F6C" w:rsidRPr="00907B3C" w:rsidRDefault="00EE0F6C" w:rsidP="008A7E29">
      <w:pPr>
        <w:pStyle w:val="ListParagraph"/>
        <w:jc w:val="both"/>
        <w:rPr>
          <w:rFonts w:ascii="Didot" w:hAnsi="Didot" w:cs="Didot"/>
          <w:sz w:val="22"/>
          <w:szCs w:val="22"/>
        </w:rPr>
      </w:pPr>
    </w:p>
    <w:p w14:paraId="5036727B" w14:textId="77777777" w:rsidR="00EE0F6C" w:rsidRPr="00907B3C" w:rsidRDefault="00EE0F6C" w:rsidP="008A7E29">
      <w:pPr>
        <w:pStyle w:val="ListParagraph"/>
        <w:jc w:val="both"/>
        <w:rPr>
          <w:rFonts w:ascii="Didot" w:hAnsi="Didot" w:cs="Didot"/>
          <w:sz w:val="22"/>
          <w:szCs w:val="22"/>
        </w:rPr>
      </w:pPr>
      <w:r w:rsidRPr="00907B3C">
        <w:rPr>
          <w:rFonts w:ascii="Didot" w:hAnsi="Didot" w:cs="Didot"/>
          <w:sz w:val="22"/>
          <w:szCs w:val="22"/>
        </w:rPr>
        <w:t xml:space="preserve">Evidence from the developed world and some developing countries demonstrates that interventions at health-facilities that include case identification and/or routine screening, assessment, psychosocial support and other clinical care, and referral for IPV can be beneficial to women experiencing violence. This observation has led to the World Health Organization issuing clinical and policy guidelines on responding to IPV and sexual violence against women in 2013. On 24 </w:t>
      </w:r>
      <w:proofErr w:type="gramStart"/>
      <w:r w:rsidRPr="00907B3C">
        <w:rPr>
          <w:rFonts w:ascii="Didot" w:hAnsi="Didot" w:cs="Didot"/>
          <w:sz w:val="22"/>
          <w:szCs w:val="22"/>
        </w:rPr>
        <w:t>May,</w:t>
      </w:r>
      <w:proofErr w:type="gramEnd"/>
      <w:r w:rsidRPr="00907B3C">
        <w:rPr>
          <w:rFonts w:ascii="Didot" w:hAnsi="Didot" w:cs="Didot"/>
          <w:sz w:val="22"/>
          <w:szCs w:val="22"/>
        </w:rPr>
        <w:t xml:space="preserve"> 2014, the 67th World Health Assembly adopted a resolution proposed by a group of 22 countries (including India) on “Strengthening the role of the health system in addressing violence, in particular against women and girls, and against children.”</w:t>
      </w:r>
      <w:r w:rsidRPr="00907B3C">
        <w:rPr>
          <w:rStyle w:val="EndnoteReference"/>
          <w:rFonts w:ascii="Didot" w:hAnsi="Didot" w:cs="Didot"/>
          <w:sz w:val="22"/>
          <w:szCs w:val="22"/>
        </w:rPr>
        <w:endnoteReference w:id="38"/>
      </w:r>
      <w:r w:rsidRPr="00907B3C">
        <w:rPr>
          <w:rFonts w:ascii="Didot" w:hAnsi="Didot" w:cs="Didot"/>
          <w:sz w:val="22"/>
          <w:szCs w:val="22"/>
        </w:rPr>
        <w:t xml:space="preserve"> As noted by the WHO, this resolution “adds legitimacy to addressing violence against women and girls as a public health problem,” and provides the public health community a clear mandate. In the remainder of this talk, I will describe the development and testing of health sector responses to IPV in India.</w:t>
      </w:r>
    </w:p>
    <w:p w14:paraId="53D2C973" w14:textId="77777777" w:rsidR="00EE0F6C" w:rsidRPr="00907B3C" w:rsidRDefault="00EE0F6C" w:rsidP="008A7E29">
      <w:pPr>
        <w:pStyle w:val="ListParagraph"/>
        <w:jc w:val="both"/>
        <w:rPr>
          <w:rFonts w:ascii="Didot" w:hAnsi="Didot" w:cs="Didot"/>
          <w:sz w:val="22"/>
          <w:szCs w:val="22"/>
          <w:u w:val="single"/>
        </w:rPr>
      </w:pPr>
    </w:p>
    <w:p w14:paraId="588728C7" w14:textId="77777777" w:rsidR="00EE0F6C" w:rsidRPr="00907B3C" w:rsidRDefault="00EE0F6C" w:rsidP="008A7E29">
      <w:pPr>
        <w:pStyle w:val="ListParagraph"/>
        <w:numPr>
          <w:ilvl w:val="0"/>
          <w:numId w:val="23"/>
        </w:numPr>
        <w:jc w:val="both"/>
        <w:rPr>
          <w:rFonts w:ascii="Didot" w:hAnsi="Didot" w:cs="Didot"/>
          <w:sz w:val="22"/>
          <w:szCs w:val="22"/>
        </w:rPr>
      </w:pPr>
      <w:r w:rsidRPr="00907B3C">
        <w:rPr>
          <w:rFonts w:ascii="Didot" w:hAnsi="Didot" w:cs="Didot"/>
          <w:b/>
          <w:sz w:val="22"/>
          <w:szCs w:val="22"/>
        </w:rPr>
        <w:t>A Primary Health Care Response to IPV in Bengaluru, India</w:t>
      </w:r>
    </w:p>
    <w:p w14:paraId="543438A0" w14:textId="77777777" w:rsidR="00EE0F6C" w:rsidRPr="00907B3C" w:rsidRDefault="00EE0F6C" w:rsidP="008A7E29">
      <w:pPr>
        <w:pStyle w:val="ListParagraph"/>
        <w:jc w:val="both"/>
        <w:rPr>
          <w:rFonts w:ascii="Didot" w:hAnsi="Didot" w:cs="Didot"/>
          <w:sz w:val="22"/>
          <w:szCs w:val="22"/>
          <w:u w:val="single"/>
        </w:rPr>
      </w:pPr>
    </w:p>
    <w:p w14:paraId="726D4643"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r w:rsidRPr="00907B3C">
        <w:rPr>
          <w:rFonts w:ascii="Didot" w:hAnsi="Didot" w:cs="Didot"/>
          <w:sz w:val="22"/>
          <w:szCs w:val="22"/>
        </w:rPr>
        <w:t xml:space="preserve">Based on nearly a decade of research on the prevalence, correlates and health impacts of IPV in Bengaluru and a study of primary care physicians’ perspectives on IPV, in 2011, we launched a project to develop and evaluate the effectiveness of an intervention to build capacity of urban primary health care providers (HCPs) to respond to IPV. Our capacity-building intervention had three components: 1) training of HCPs (including physicians, nurses and community outreach workers) on gender, IPV and its impacts on women’s and children’s health (including the application of guidelines, protocols and job aids to identify women experiencing IPV and provide support); 2) increasing access to comprehensive referral services through the establishment of a network of governmental and non-governmental agencies; and 3) advocacy at the municipal and state levels to adopt a policy on health systems responses to violence against women. The intervention drew on successful programs elsewhere in India (namely, Dilaasa, the one stop crisis center model implemented in Mumbai by the </w:t>
      </w:r>
      <w:r w:rsidRPr="00907B3C">
        <w:rPr>
          <w:rFonts w:ascii="Didot" w:hAnsi="Didot" w:cs="Didot"/>
          <w:sz w:val="22"/>
          <w:szCs w:val="22"/>
        </w:rPr>
        <w:lastRenderedPageBreak/>
        <w:t xml:space="preserve">municipal corporation with support from the Center for Enquiry into Health and Allied Themes [CEHAT]) and in higher income countries such as the United States. </w:t>
      </w:r>
    </w:p>
    <w:p w14:paraId="652D6702"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p>
    <w:p w14:paraId="19D59C82"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r w:rsidRPr="00907B3C">
        <w:rPr>
          <w:rFonts w:ascii="Didot" w:hAnsi="Didot" w:cs="Didot"/>
          <w:sz w:val="22"/>
          <w:szCs w:val="22"/>
        </w:rPr>
        <w:t xml:space="preserve">Using a quasi-experimental design and a combination of quantitative and qualitative data, we conducted a process and outcomes evaluation of the capacity building intervention. Data from surveys of health care providers (conducted prior to the training and at several time points post-training) demonstrated that, among nurses and community outreach workers, knowledge regarding screening, identification and documentation of IPV significantly improved after the intervention. Scores on the knowledge, attitudes, and practices survey declined over time, indicating the need for continuing education and reinforcement of training. </w:t>
      </w:r>
    </w:p>
    <w:p w14:paraId="32E1E678"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p>
    <w:p w14:paraId="1F5348C3"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r w:rsidRPr="00907B3C">
        <w:rPr>
          <w:rFonts w:ascii="Didot" w:hAnsi="Didot" w:cs="Didot"/>
          <w:sz w:val="22"/>
          <w:szCs w:val="22"/>
        </w:rPr>
        <w:t>A comparison of responses to exit interviews with women before and after the intervention showed that awareness of IPV had substantially increased among those seeking care at the primary health centers after the health care providers had been trained. In addition, 61% of women in the post-intervention exit interviews (n=100) reported being asked about “problems at home” and various forms of IPV, compared to none being asked about these issues at baseline. About half of the women interviewed post-intervention indicated that they had been informed about IPV, and the majority found the information to be useful. About 70 women who disclosed IPV and other forms of domestic violence to their health care provider used referral services (primarily, counseling, shelter and legal aid).</w:t>
      </w:r>
    </w:p>
    <w:p w14:paraId="591B1909"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p>
    <w:p w14:paraId="7F9C50F2"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r w:rsidRPr="00907B3C">
        <w:rPr>
          <w:rFonts w:ascii="Didot" w:hAnsi="Didot" w:cs="Didot"/>
          <w:sz w:val="22"/>
          <w:szCs w:val="22"/>
        </w:rPr>
        <w:t xml:space="preserve">Despite these successes, the process evaluation revealed inconsistent adherence to the case identification and response protocol and poor documentation of service provision due to weaknesses in the training and documentation systems and processes as well as due to the pilot nature of the project (and the lack of a formal policy on the health sector response to IPV). Although the data indicated that training </w:t>
      </w:r>
      <w:proofErr w:type="gramStart"/>
      <w:r w:rsidRPr="00907B3C">
        <w:rPr>
          <w:rFonts w:ascii="Didot" w:hAnsi="Didot" w:cs="Didot"/>
          <w:sz w:val="22"/>
          <w:szCs w:val="22"/>
        </w:rPr>
        <w:t>can</w:t>
      </w:r>
      <w:proofErr w:type="gramEnd"/>
      <w:r w:rsidRPr="00907B3C">
        <w:rPr>
          <w:rFonts w:ascii="Didot" w:hAnsi="Didot" w:cs="Didot"/>
          <w:sz w:val="22"/>
          <w:szCs w:val="22"/>
        </w:rPr>
        <w:t xml:space="preserve"> improve health care providers’ knowledge and practices, scaling up the training is likely to be challenging because of the limited number of expert trainers available.</w:t>
      </w:r>
    </w:p>
    <w:p w14:paraId="2ADA5C96"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p>
    <w:p w14:paraId="161EA5F6" w14:textId="77777777" w:rsidR="00EE0F6C" w:rsidRPr="00907B3C" w:rsidRDefault="00EE0F6C" w:rsidP="008A7E29">
      <w:pPr>
        <w:pStyle w:val="NormalWeb"/>
        <w:spacing w:before="0" w:beforeAutospacing="0" w:after="0" w:afterAutospacing="0"/>
        <w:ind w:left="720"/>
        <w:jc w:val="both"/>
        <w:rPr>
          <w:rFonts w:ascii="Didot" w:hAnsi="Didot" w:cs="Didot"/>
          <w:sz w:val="22"/>
          <w:szCs w:val="22"/>
        </w:rPr>
      </w:pPr>
      <w:r w:rsidRPr="00907B3C">
        <w:rPr>
          <w:rFonts w:ascii="Didot" w:hAnsi="Didot" w:cs="Didot"/>
          <w:sz w:val="22"/>
          <w:szCs w:val="22"/>
        </w:rPr>
        <w:t>We have responded to these challenges in two ways. First, we are exploring the use of mHealth innovations. Specifically, we are using mHealth applications to enhance the scalability and quality of training for health care providers (using an “mTrainer” application), promote protocol adherence and documentation (through an application for nurses), and assist in disseminating critical information regarding IPV, women’s rights and services (through an application for community outreach workers). Second, we are leveraging the current attention to the issue of violence against women to intensify advocacy with municipal and state policy-makers and program implementers to actively take leadership of this initiative.</w:t>
      </w:r>
    </w:p>
    <w:p w14:paraId="30D17C13" w14:textId="77777777" w:rsidR="00EE0F6C" w:rsidRPr="00907B3C" w:rsidRDefault="00EE0F6C" w:rsidP="008A7E29">
      <w:pPr>
        <w:pStyle w:val="BodyText"/>
        <w:spacing w:after="120"/>
        <w:ind w:left="360"/>
        <w:jc w:val="both"/>
        <w:rPr>
          <w:rFonts w:ascii="Didot" w:hAnsi="Didot" w:cs="Didot"/>
          <w:sz w:val="22"/>
          <w:szCs w:val="22"/>
        </w:rPr>
      </w:pPr>
      <w:r w:rsidRPr="00907B3C">
        <w:rPr>
          <w:rFonts w:ascii="Didot" w:hAnsi="Didot" w:cs="Didot"/>
          <w:sz w:val="22"/>
          <w:szCs w:val="22"/>
        </w:rPr>
        <w:t xml:space="preserve"> </w:t>
      </w:r>
    </w:p>
    <w:p w14:paraId="6F91B719" w14:textId="544F1591" w:rsidR="00EE0F6C" w:rsidRPr="00907B3C" w:rsidRDefault="00B34EBC" w:rsidP="008A7E29">
      <w:pPr>
        <w:pStyle w:val="ListParagraph"/>
        <w:numPr>
          <w:ilvl w:val="0"/>
          <w:numId w:val="23"/>
        </w:numPr>
        <w:jc w:val="both"/>
        <w:rPr>
          <w:rFonts w:ascii="Didot" w:hAnsi="Didot" w:cs="Didot"/>
          <w:sz w:val="22"/>
          <w:szCs w:val="22"/>
        </w:rPr>
      </w:pPr>
      <w:r>
        <w:rPr>
          <w:rFonts w:ascii="Didot" w:hAnsi="Didot" w:cs="Didot"/>
          <w:b/>
          <w:sz w:val="22"/>
          <w:szCs w:val="22"/>
        </w:rPr>
        <w:br w:type="column"/>
      </w:r>
      <w:r w:rsidR="00EE0F6C" w:rsidRPr="00907B3C">
        <w:rPr>
          <w:rFonts w:ascii="Didot" w:hAnsi="Didot" w:cs="Didot"/>
          <w:b/>
          <w:sz w:val="22"/>
          <w:szCs w:val="22"/>
        </w:rPr>
        <w:lastRenderedPageBreak/>
        <w:t>Conclusions/recommendations</w:t>
      </w:r>
    </w:p>
    <w:p w14:paraId="442A1DE3" w14:textId="77777777" w:rsidR="00EE0F6C" w:rsidRPr="00907B3C" w:rsidRDefault="00EE0F6C" w:rsidP="008A7E29">
      <w:pPr>
        <w:ind w:left="720"/>
        <w:jc w:val="both"/>
        <w:rPr>
          <w:rFonts w:ascii="Didot" w:hAnsi="Didot" w:cs="Didot"/>
          <w:sz w:val="22"/>
          <w:szCs w:val="22"/>
        </w:rPr>
      </w:pPr>
    </w:p>
    <w:p w14:paraId="1EC96535" w14:textId="77777777" w:rsidR="00EE0F6C" w:rsidRPr="00907B3C" w:rsidRDefault="00EE0F6C" w:rsidP="008A7E29">
      <w:pPr>
        <w:widowControl w:val="0"/>
        <w:autoSpaceDE w:val="0"/>
        <w:autoSpaceDN w:val="0"/>
        <w:adjustRightInd w:val="0"/>
        <w:spacing w:after="240"/>
        <w:ind w:left="567"/>
        <w:jc w:val="both"/>
        <w:rPr>
          <w:rFonts w:ascii="Didot" w:hAnsi="Didot" w:cs="Didot"/>
          <w:b/>
          <w:sz w:val="22"/>
          <w:szCs w:val="22"/>
          <w:lang w:val="en-US"/>
        </w:rPr>
      </w:pPr>
      <w:r w:rsidRPr="00907B3C">
        <w:rPr>
          <w:rFonts w:ascii="Didot" w:hAnsi="Didot" w:cs="Didot"/>
          <w:sz w:val="22"/>
          <w:szCs w:val="22"/>
        </w:rPr>
        <w:t>Our research in Bengaluru, India has demonstrated the feasibility and acceptability of a primary health systems response to IPV. The identification of effective responses to IPV is an urgent priority in India, with important health and human rights ramifications. The sustainability, replication and scale-up of interventions to prevent and mitigate IPV require several key actions by Indian policy-makers. First, there is a need for a clear commitment to a health systems response to IPV at the national, state and municipal levels. India has taken a very progressive step by helping to draft the resolution adopted by the World Health Assembly on health systems responses to violence against women and girls; this must be followed by similar actions at the local level. Second, existing WHO guidelines and protocols should be adapted for the Indian setting; researchers, advocates and care providers have initiated this effort, but greater governmental engagement is necessary. Third, policy-makers must allocate sufficient resources to build systems-level capacities to respond to IPV, strengthen inter-sectoral linkages to improve access to health and non-health support services, and establish mechanisms to promote accountability. Finally, policy-makers must support research – to spur the development and testing of innovative health-based interventions for IPV prevention and management and to identify strategies to promote adoption and scale- up of evidence-based interventions.</w:t>
      </w:r>
    </w:p>
    <w:p w14:paraId="2F3C70A1" w14:textId="77777777" w:rsidR="00160E26" w:rsidRPr="00907B3C" w:rsidRDefault="00160E26" w:rsidP="008A7E29">
      <w:pPr>
        <w:widowControl w:val="0"/>
        <w:autoSpaceDE w:val="0"/>
        <w:autoSpaceDN w:val="0"/>
        <w:adjustRightInd w:val="0"/>
        <w:spacing w:after="240"/>
        <w:jc w:val="both"/>
        <w:rPr>
          <w:rFonts w:ascii="Didot" w:hAnsi="Didot" w:cs="Didot"/>
          <w:color w:val="121212"/>
          <w:sz w:val="22"/>
          <w:szCs w:val="22"/>
          <w:lang w:val="en-US"/>
        </w:rPr>
        <w:sectPr w:rsidR="00160E26" w:rsidRPr="00907B3C" w:rsidSect="00160E26">
          <w:type w:val="continuous"/>
          <w:pgSz w:w="11900" w:h="16840"/>
          <w:pgMar w:top="1440" w:right="1800" w:bottom="1440" w:left="1800" w:header="708" w:footer="708" w:gutter="0"/>
          <w:cols w:space="708"/>
          <w:docGrid w:linePitch="360"/>
        </w:sectPr>
      </w:pPr>
    </w:p>
    <w:p w14:paraId="3CB9AA2E" w14:textId="77777777" w:rsidR="007A51A5" w:rsidRPr="006916FC" w:rsidRDefault="007A51A5" w:rsidP="008A7E29">
      <w:pPr>
        <w:widowControl w:val="0"/>
        <w:pBdr>
          <w:bottom w:val="single" w:sz="6" w:space="1" w:color="auto"/>
        </w:pBdr>
        <w:autoSpaceDE w:val="0"/>
        <w:autoSpaceDN w:val="0"/>
        <w:adjustRightInd w:val="0"/>
        <w:spacing w:after="240"/>
        <w:jc w:val="both"/>
        <w:rPr>
          <w:rFonts w:ascii="Didot" w:hAnsi="Didot" w:cs="Didot"/>
          <w:b/>
          <w:bCs/>
          <w:color w:val="1A1A1A"/>
          <w:lang w:val="en-US"/>
        </w:rPr>
      </w:pPr>
    </w:p>
    <w:p w14:paraId="7BB3BA7C" w14:textId="77777777" w:rsidR="00900655" w:rsidRPr="006916FC" w:rsidRDefault="00900655" w:rsidP="008A7E29">
      <w:pPr>
        <w:widowControl w:val="0"/>
        <w:autoSpaceDE w:val="0"/>
        <w:autoSpaceDN w:val="0"/>
        <w:adjustRightInd w:val="0"/>
        <w:spacing w:after="240"/>
        <w:jc w:val="both"/>
        <w:rPr>
          <w:rFonts w:ascii="Didot" w:hAnsi="Didot" w:cs="Didot"/>
          <w:b/>
          <w:bCs/>
          <w:color w:val="1A1A1A"/>
          <w:sz w:val="28"/>
          <w:szCs w:val="28"/>
          <w:lang w:val="en-US"/>
        </w:rPr>
      </w:pPr>
    </w:p>
    <w:p w14:paraId="727A790B" w14:textId="77777777" w:rsidR="00343493" w:rsidRPr="006916FC" w:rsidRDefault="00343493" w:rsidP="008A7E29">
      <w:pPr>
        <w:pStyle w:val="Heading2"/>
        <w:jc w:val="both"/>
        <w:rPr>
          <w:rFonts w:ascii="Didot" w:hAnsi="Didot" w:cs="Didot"/>
          <w:color w:val="auto"/>
          <w:sz w:val="34"/>
          <w:szCs w:val="34"/>
        </w:rPr>
      </w:pPr>
      <w:bookmarkStart w:id="102" w:name="_Toc272639931"/>
      <w:bookmarkStart w:id="103" w:name="_Toc272645054"/>
      <w:r w:rsidRPr="006916FC">
        <w:rPr>
          <w:rFonts w:ascii="Didot" w:hAnsi="Didot" w:cs="Didot"/>
          <w:color w:val="auto"/>
          <w:sz w:val="34"/>
          <w:szCs w:val="34"/>
        </w:rPr>
        <w:t>Claudia Garcia-Moreno</w:t>
      </w:r>
      <w:bookmarkEnd w:id="102"/>
      <w:bookmarkEnd w:id="103"/>
    </w:p>
    <w:p w14:paraId="69981F68" w14:textId="77777777" w:rsidR="00D84C5F" w:rsidRDefault="00D84C5F" w:rsidP="008A7E29">
      <w:pPr>
        <w:autoSpaceDE w:val="0"/>
        <w:autoSpaceDN w:val="0"/>
        <w:adjustRightInd w:val="0"/>
        <w:jc w:val="both"/>
        <w:rPr>
          <w:rFonts w:ascii="Didot" w:hAnsi="Didot" w:cs="Didot"/>
          <w:b/>
          <w:bCs/>
        </w:rPr>
      </w:pPr>
    </w:p>
    <w:p w14:paraId="2F3458EF" w14:textId="19FDF226" w:rsidR="00B552DA" w:rsidRPr="006916FC" w:rsidRDefault="00900655" w:rsidP="008A7E29">
      <w:pPr>
        <w:autoSpaceDE w:val="0"/>
        <w:autoSpaceDN w:val="0"/>
        <w:adjustRightInd w:val="0"/>
        <w:jc w:val="both"/>
        <w:rPr>
          <w:rFonts w:ascii="Didot" w:hAnsi="Didot" w:cs="Didot"/>
          <w:b/>
          <w:bCs/>
        </w:rPr>
      </w:pPr>
      <w:r w:rsidRPr="006916FC">
        <w:rPr>
          <w:rFonts w:ascii="Didot" w:hAnsi="Didot" w:cs="Didot"/>
          <w:b/>
          <w:bCs/>
        </w:rPr>
        <w:t>A</w:t>
      </w:r>
      <w:r w:rsidR="00B552DA" w:rsidRPr="006916FC">
        <w:rPr>
          <w:rFonts w:ascii="Didot" w:hAnsi="Didot" w:cs="Didot"/>
          <w:b/>
          <w:bCs/>
        </w:rPr>
        <w:t xml:space="preserve">bstract </w:t>
      </w:r>
    </w:p>
    <w:p w14:paraId="3C6E7725" w14:textId="77777777" w:rsidR="00900655" w:rsidRPr="006916FC" w:rsidRDefault="00900655" w:rsidP="008A7E29">
      <w:pPr>
        <w:autoSpaceDE w:val="0"/>
        <w:autoSpaceDN w:val="0"/>
        <w:adjustRightInd w:val="0"/>
        <w:jc w:val="both"/>
        <w:rPr>
          <w:rFonts w:ascii="Didot" w:hAnsi="Didot" w:cs="Didot"/>
          <w:b/>
          <w:bCs/>
        </w:rPr>
      </w:pPr>
    </w:p>
    <w:p w14:paraId="64587D52" w14:textId="31CC916D" w:rsidR="00EE46BD" w:rsidRPr="006916FC" w:rsidRDefault="00EE46BD" w:rsidP="008A7E29">
      <w:pPr>
        <w:autoSpaceDE w:val="0"/>
        <w:autoSpaceDN w:val="0"/>
        <w:adjustRightInd w:val="0"/>
        <w:jc w:val="both"/>
        <w:rPr>
          <w:rFonts w:ascii="Didot" w:hAnsi="Didot" w:cs="Didot"/>
          <w:b/>
          <w:bCs/>
        </w:rPr>
      </w:pPr>
      <w:r w:rsidRPr="006916FC">
        <w:rPr>
          <w:rFonts w:ascii="Didot" w:hAnsi="Didot" w:cs="Didot"/>
          <w:b/>
          <w:bCs/>
        </w:rPr>
        <w:t>Preventing Intimate Partner Violence Against Women in Low- and Middle-Income Countries</w:t>
      </w:r>
    </w:p>
    <w:p w14:paraId="7EA39357" w14:textId="77777777" w:rsidR="00EE46BD" w:rsidRPr="006916FC" w:rsidRDefault="00EE46BD" w:rsidP="008A7E29">
      <w:pPr>
        <w:autoSpaceDE w:val="0"/>
        <w:autoSpaceDN w:val="0"/>
        <w:adjustRightInd w:val="0"/>
        <w:jc w:val="both"/>
        <w:rPr>
          <w:rFonts w:ascii="Didot" w:hAnsi="Didot" w:cs="Didot"/>
          <w:b/>
          <w:bCs/>
        </w:rPr>
      </w:pPr>
    </w:p>
    <w:p w14:paraId="06448645"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Intimate partner violence against women is a widespread and global problem affecting the health and lives of millions of women and their children. WHO 2013 estimates that worldwide, almost one third (</w:t>
      </w:r>
      <w:proofErr w:type="gramStart"/>
      <w:r w:rsidRPr="00907B3C">
        <w:rPr>
          <w:rFonts w:ascii="Didot" w:hAnsi="Didot" w:cs="Didot"/>
          <w:sz w:val="22"/>
          <w:szCs w:val="22"/>
        </w:rPr>
        <w:t>30%</w:t>
      </w:r>
      <w:proofErr w:type="gramEnd"/>
      <w:r w:rsidRPr="00907B3C">
        <w:rPr>
          <w:rFonts w:ascii="Didot" w:hAnsi="Didot" w:cs="Didot"/>
          <w:sz w:val="22"/>
          <w:szCs w:val="22"/>
        </w:rPr>
        <w:t>) of women who have been in a relationship have experienced physical and/or sexual violence by an intimate partner, with regional prevalence of 37% in the WHO African and Eastern Mediterranean region and 37.7% in the South-east Asia regions.(1) This same report documents the tremendous impacts of this violence on women’s physical, sexual and reproductive and mental health.</w:t>
      </w:r>
    </w:p>
    <w:p w14:paraId="0DDFB673" w14:textId="77777777" w:rsidR="00EE0F6C" w:rsidRPr="00907B3C" w:rsidRDefault="00EE0F6C" w:rsidP="008A7E29">
      <w:pPr>
        <w:jc w:val="both"/>
        <w:rPr>
          <w:rFonts w:ascii="Didot" w:hAnsi="Didot" w:cs="Didot"/>
          <w:sz w:val="22"/>
          <w:szCs w:val="22"/>
        </w:rPr>
      </w:pPr>
    </w:p>
    <w:p w14:paraId="5A6701CA"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Most of the published evidence for prevention comes from high-income countries, but there are also experiences of promising interventions, several of them from low- and middle-income countries, which need further testing. These include interventions to empower women economically and financially and to change social </w:t>
      </w:r>
      <w:r w:rsidRPr="00907B3C">
        <w:rPr>
          <w:rFonts w:ascii="Didot" w:hAnsi="Didot" w:cs="Didot"/>
          <w:sz w:val="22"/>
          <w:szCs w:val="22"/>
        </w:rPr>
        <w:lastRenderedPageBreak/>
        <w:t>norms, laws and policies that perpetuate inequality between women and men. Interventions to prevent child abuse and dating violence are also important but will be addressed in a separate presentation.</w:t>
      </w:r>
    </w:p>
    <w:p w14:paraId="3CBC7C13" w14:textId="77777777" w:rsidR="00EE0F6C" w:rsidRPr="00907B3C" w:rsidRDefault="00EE0F6C" w:rsidP="008A7E29">
      <w:pPr>
        <w:jc w:val="both"/>
        <w:rPr>
          <w:rFonts w:ascii="Didot" w:hAnsi="Didot" w:cs="Didot"/>
          <w:sz w:val="22"/>
          <w:szCs w:val="22"/>
        </w:rPr>
      </w:pPr>
    </w:p>
    <w:p w14:paraId="25F0A8A4"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While a focus on preventing violence before it starts (primary prevention) is necessary, identification and early intervention when violence is present is also important and the health system has an important role to play in this. The health system can also contribute to address factors like depression, or harmful use of alcohol, or other substances, which frequently co-exist with violence and can exacerbate its impacts. Interventions to address partner violence in antenatal care have been shown to be effective in reducing recurrence of partner violence in high-income countries and there is potential for using antenatal care services for preventive interventions with fathers. </w:t>
      </w:r>
    </w:p>
    <w:p w14:paraId="1C8256D9" w14:textId="77777777" w:rsidR="00EE0F6C" w:rsidRPr="006916FC" w:rsidRDefault="00EE0F6C" w:rsidP="008A7E29">
      <w:pPr>
        <w:pBdr>
          <w:bottom w:val="single" w:sz="6" w:space="1" w:color="auto"/>
        </w:pBdr>
        <w:jc w:val="both"/>
        <w:rPr>
          <w:rFonts w:ascii="Didot" w:hAnsi="Didot" w:cs="Didot"/>
          <w:sz w:val="22"/>
          <w:szCs w:val="22"/>
        </w:rPr>
      </w:pPr>
    </w:p>
    <w:p w14:paraId="4F4A904F" w14:textId="77777777" w:rsidR="00216034" w:rsidRPr="006916FC" w:rsidRDefault="00216034" w:rsidP="008A7E29">
      <w:pPr>
        <w:jc w:val="both"/>
        <w:rPr>
          <w:rFonts w:ascii="Didot" w:hAnsi="Didot" w:cs="Didot"/>
          <w:sz w:val="22"/>
          <w:szCs w:val="22"/>
        </w:rPr>
      </w:pPr>
    </w:p>
    <w:p w14:paraId="7A8EF97E" w14:textId="77777777" w:rsidR="00B552DA" w:rsidRPr="006916FC" w:rsidRDefault="00EE0F6C" w:rsidP="008A7E29">
      <w:pPr>
        <w:autoSpaceDE w:val="0"/>
        <w:autoSpaceDN w:val="0"/>
        <w:adjustRightInd w:val="0"/>
        <w:jc w:val="both"/>
        <w:rPr>
          <w:rFonts w:ascii="Didot" w:hAnsi="Didot" w:cs="Didot"/>
          <w:b/>
          <w:bCs/>
          <w:sz w:val="28"/>
          <w:szCs w:val="28"/>
        </w:rPr>
      </w:pPr>
      <w:r w:rsidRPr="006916FC">
        <w:rPr>
          <w:rFonts w:ascii="Didot" w:hAnsi="Didot" w:cs="Didot"/>
          <w:b/>
          <w:bCs/>
          <w:sz w:val="28"/>
          <w:szCs w:val="28"/>
        </w:rPr>
        <w:t>S</w:t>
      </w:r>
      <w:r w:rsidR="00B552DA" w:rsidRPr="006916FC">
        <w:rPr>
          <w:rFonts w:ascii="Didot" w:hAnsi="Didot" w:cs="Didot"/>
          <w:b/>
          <w:bCs/>
          <w:sz w:val="28"/>
          <w:szCs w:val="28"/>
        </w:rPr>
        <w:t xml:space="preserve">ummary </w:t>
      </w:r>
    </w:p>
    <w:p w14:paraId="46D6ECAB" w14:textId="77777777" w:rsidR="00B86B1F" w:rsidRPr="006916FC" w:rsidRDefault="00B86B1F" w:rsidP="008A7E29">
      <w:pPr>
        <w:autoSpaceDE w:val="0"/>
        <w:autoSpaceDN w:val="0"/>
        <w:adjustRightInd w:val="0"/>
        <w:jc w:val="both"/>
        <w:rPr>
          <w:rFonts w:ascii="Didot" w:hAnsi="Didot" w:cs="Didot"/>
          <w:b/>
          <w:bCs/>
          <w:sz w:val="28"/>
          <w:szCs w:val="28"/>
        </w:rPr>
      </w:pPr>
    </w:p>
    <w:p w14:paraId="3E42446C" w14:textId="4D475DEB" w:rsidR="00B86B1F" w:rsidRPr="006916FC" w:rsidRDefault="00B86B1F" w:rsidP="008A7E29">
      <w:pPr>
        <w:autoSpaceDE w:val="0"/>
        <w:autoSpaceDN w:val="0"/>
        <w:adjustRightInd w:val="0"/>
        <w:jc w:val="both"/>
        <w:rPr>
          <w:rFonts w:ascii="Didot" w:hAnsi="Didot" w:cs="Didot"/>
          <w:b/>
          <w:bCs/>
        </w:rPr>
      </w:pPr>
      <w:r w:rsidRPr="006916FC">
        <w:rPr>
          <w:rFonts w:ascii="Didot" w:hAnsi="Didot" w:cs="Didot"/>
          <w:b/>
          <w:bCs/>
        </w:rPr>
        <w:t>Preventing Intimate Partner Violence Against Women in Low- and Middle-Income Countries</w:t>
      </w:r>
    </w:p>
    <w:p w14:paraId="5A064BF6" w14:textId="77777777" w:rsidR="00B552DA" w:rsidRPr="006916FC" w:rsidRDefault="00B552DA" w:rsidP="008A7E29">
      <w:pPr>
        <w:autoSpaceDE w:val="0"/>
        <w:autoSpaceDN w:val="0"/>
        <w:adjustRightInd w:val="0"/>
        <w:jc w:val="both"/>
        <w:rPr>
          <w:rFonts w:ascii="Didot" w:hAnsi="Didot" w:cs="Didot"/>
        </w:rPr>
      </w:pPr>
    </w:p>
    <w:p w14:paraId="3E9CF981" w14:textId="77777777" w:rsidR="00160E26" w:rsidRPr="006916FC" w:rsidRDefault="00160E26" w:rsidP="008A7E29">
      <w:pPr>
        <w:autoSpaceDE w:val="0"/>
        <w:autoSpaceDN w:val="0"/>
        <w:adjustRightInd w:val="0"/>
        <w:jc w:val="both"/>
        <w:rPr>
          <w:rFonts w:ascii="Didot" w:hAnsi="Didot" w:cs="Didot"/>
          <w:b/>
          <w:bCs/>
        </w:rPr>
        <w:sectPr w:rsidR="00160E26" w:rsidRPr="006916FC" w:rsidSect="003D6AB9">
          <w:type w:val="continuous"/>
          <w:pgSz w:w="11900" w:h="16840"/>
          <w:pgMar w:top="1440" w:right="1800" w:bottom="1440" w:left="1800" w:header="708" w:footer="708" w:gutter="0"/>
          <w:cols w:space="708"/>
          <w:docGrid w:linePitch="360"/>
        </w:sectPr>
      </w:pPr>
    </w:p>
    <w:p w14:paraId="271C9B3D" w14:textId="77777777" w:rsidR="00B552DA" w:rsidRPr="00907B3C" w:rsidRDefault="00B552DA" w:rsidP="008A7E29">
      <w:pPr>
        <w:autoSpaceDE w:val="0"/>
        <w:autoSpaceDN w:val="0"/>
        <w:adjustRightInd w:val="0"/>
        <w:jc w:val="both"/>
        <w:rPr>
          <w:rFonts w:ascii="Didot" w:hAnsi="Didot" w:cs="Didot"/>
          <w:b/>
          <w:bCs/>
          <w:sz w:val="22"/>
          <w:szCs w:val="22"/>
        </w:rPr>
      </w:pPr>
      <w:r w:rsidRPr="00907B3C">
        <w:rPr>
          <w:rFonts w:ascii="Didot" w:hAnsi="Didot" w:cs="Didot"/>
          <w:b/>
          <w:bCs/>
          <w:sz w:val="22"/>
          <w:szCs w:val="22"/>
        </w:rPr>
        <w:lastRenderedPageBreak/>
        <w:t xml:space="preserve">Introduction </w:t>
      </w:r>
    </w:p>
    <w:p w14:paraId="0F7C30AE" w14:textId="77777777" w:rsidR="00526673" w:rsidRPr="00907B3C" w:rsidRDefault="00526673" w:rsidP="008A7E29">
      <w:pPr>
        <w:autoSpaceDE w:val="0"/>
        <w:autoSpaceDN w:val="0"/>
        <w:adjustRightInd w:val="0"/>
        <w:jc w:val="both"/>
        <w:rPr>
          <w:rFonts w:ascii="Didot" w:hAnsi="Didot" w:cs="Didot"/>
          <w:sz w:val="22"/>
          <w:szCs w:val="22"/>
        </w:rPr>
      </w:pPr>
    </w:p>
    <w:p w14:paraId="2A643B8F"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Intimate partner violence against women is a widespread and global problem affecting the health and lives of millions of women and their children. WHO 2013 estimates that worldwide, almost one third (</w:t>
      </w:r>
      <w:proofErr w:type="gramStart"/>
      <w:r w:rsidRPr="00907B3C">
        <w:rPr>
          <w:rFonts w:ascii="Didot" w:hAnsi="Didot" w:cs="Didot"/>
          <w:sz w:val="22"/>
          <w:szCs w:val="22"/>
        </w:rPr>
        <w:t>30%</w:t>
      </w:r>
      <w:proofErr w:type="gramEnd"/>
      <w:r w:rsidRPr="00907B3C">
        <w:rPr>
          <w:rFonts w:ascii="Didot" w:hAnsi="Didot" w:cs="Didot"/>
          <w:sz w:val="22"/>
          <w:szCs w:val="22"/>
        </w:rPr>
        <w:t>) of women who have been in a relationship have experienced physical and/or sexual violence by an intimate partner, with regional prevalence varying from 23% in high-income countries to 37% in the WHO African and Eastern Mediterranean region and 37.7% in the South-east Asia regions. (1) This same report documents the tremendous impacts of this violence on women’s physical, sexual and reproductive and mental health.</w:t>
      </w:r>
    </w:p>
    <w:p w14:paraId="624DA734" w14:textId="77777777" w:rsidR="00526673" w:rsidRPr="00907B3C" w:rsidRDefault="00526673" w:rsidP="008A7E29">
      <w:pPr>
        <w:jc w:val="both"/>
        <w:rPr>
          <w:rFonts w:ascii="Didot" w:hAnsi="Didot" w:cs="Didot"/>
          <w:sz w:val="22"/>
          <w:szCs w:val="22"/>
        </w:rPr>
      </w:pPr>
    </w:p>
    <w:p w14:paraId="58144FF4"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Most of the published evidence for effective prevention strategies comes from high-income countries, but there are also experiences of promising interventions, several of them from low- and middle-income countries, which need further testing. (2, </w:t>
      </w:r>
      <w:proofErr w:type="gramStart"/>
      <w:r w:rsidRPr="00907B3C">
        <w:rPr>
          <w:rFonts w:ascii="Didot" w:hAnsi="Didot" w:cs="Didot"/>
          <w:sz w:val="22"/>
          <w:szCs w:val="22"/>
        </w:rPr>
        <w:t>3)  These</w:t>
      </w:r>
      <w:proofErr w:type="gramEnd"/>
      <w:r w:rsidRPr="00907B3C">
        <w:rPr>
          <w:rFonts w:ascii="Didot" w:hAnsi="Didot" w:cs="Didot"/>
          <w:sz w:val="22"/>
          <w:szCs w:val="22"/>
        </w:rPr>
        <w:t xml:space="preserve"> include interventions to empower women economically and financially and to change social norms, laws and policies that perpetuate inequality between women and men. (2,3,4) Interventions to prevent child abuse and dating violence as precursors of intimate partner violence are addressed in another presentation by MacMillan so will not be covered here.</w:t>
      </w:r>
    </w:p>
    <w:p w14:paraId="1E4C2A38" w14:textId="77777777" w:rsidR="00526673" w:rsidRPr="00907B3C" w:rsidRDefault="00526673" w:rsidP="008A7E29">
      <w:pPr>
        <w:jc w:val="both"/>
        <w:rPr>
          <w:rFonts w:ascii="Didot" w:hAnsi="Didot" w:cs="Didot"/>
          <w:sz w:val="22"/>
          <w:szCs w:val="22"/>
        </w:rPr>
      </w:pPr>
    </w:p>
    <w:p w14:paraId="6AFC735E"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While a focus on preventing violence before it starts (primary prevention) is necessary, secondary prevention through identification and early intervention of women subjected to </w:t>
      </w:r>
      <w:proofErr w:type="gramStart"/>
      <w:r w:rsidRPr="00907B3C">
        <w:rPr>
          <w:rFonts w:ascii="Didot" w:hAnsi="Didot" w:cs="Didot"/>
          <w:sz w:val="22"/>
          <w:szCs w:val="22"/>
        </w:rPr>
        <w:t>partner  violence</w:t>
      </w:r>
      <w:proofErr w:type="gramEnd"/>
      <w:r w:rsidRPr="00907B3C">
        <w:rPr>
          <w:rFonts w:ascii="Didot" w:hAnsi="Didot" w:cs="Didot"/>
          <w:sz w:val="22"/>
          <w:szCs w:val="22"/>
        </w:rPr>
        <w:t xml:space="preserve"> is also important and the health system has an important role to play in this.(5,6)</w:t>
      </w:r>
    </w:p>
    <w:p w14:paraId="71E2D2DC" w14:textId="77777777" w:rsidR="00526673" w:rsidRPr="00907B3C" w:rsidRDefault="00526673" w:rsidP="008A7E29">
      <w:pPr>
        <w:jc w:val="both"/>
        <w:rPr>
          <w:rFonts w:ascii="Didot" w:hAnsi="Didot" w:cs="Didot"/>
          <w:sz w:val="22"/>
          <w:szCs w:val="22"/>
        </w:rPr>
      </w:pPr>
    </w:p>
    <w:p w14:paraId="25C0298D"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This presentation will summarize new information on the role of macro-level factors and how they interact with individual level risk factors and the relevance of this for primary prevention of IPV in low- and middle-income countries. It will also review some of the health-sector based interventions and their role in prevention. </w:t>
      </w:r>
    </w:p>
    <w:p w14:paraId="5806C1CA" w14:textId="77777777" w:rsidR="00526673" w:rsidRPr="00907B3C" w:rsidRDefault="00526673" w:rsidP="008A7E29">
      <w:pPr>
        <w:jc w:val="both"/>
        <w:rPr>
          <w:rFonts w:ascii="Didot" w:hAnsi="Didot" w:cs="Didot"/>
          <w:sz w:val="22"/>
          <w:szCs w:val="22"/>
        </w:rPr>
      </w:pPr>
    </w:p>
    <w:p w14:paraId="16454BBC" w14:textId="77777777" w:rsidR="00B552DA" w:rsidRPr="00907B3C" w:rsidRDefault="00B552DA" w:rsidP="008A7E29">
      <w:pPr>
        <w:autoSpaceDE w:val="0"/>
        <w:autoSpaceDN w:val="0"/>
        <w:adjustRightInd w:val="0"/>
        <w:jc w:val="both"/>
        <w:rPr>
          <w:rFonts w:ascii="Didot" w:hAnsi="Didot" w:cs="Didot"/>
          <w:b/>
          <w:bCs/>
          <w:sz w:val="22"/>
          <w:szCs w:val="22"/>
        </w:rPr>
      </w:pPr>
      <w:r w:rsidRPr="00907B3C">
        <w:rPr>
          <w:rFonts w:ascii="Didot" w:hAnsi="Didot" w:cs="Didot"/>
          <w:b/>
          <w:bCs/>
          <w:sz w:val="22"/>
          <w:szCs w:val="22"/>
        </w:rPr>
        <w:t>A review of the evidence and ongoing research</w:t>
      </w:r>
    </w:p>
    <w:p w14:paraId="7B772D9B" w14:textId="77777777" w:rsidR="00526673" w:rsidRPr="00907B3C" w:rsidRDefault="00526673" w:rsidP="008A7E29">
      <w:pPr>
        <w:autoSpaceDE w:val="0"/>
        <w:autoSpaceDN w:val="0"/>
        <w:adjustRightInd w:val="0"/>
        <w:jc w:val="both"/>
        <w:rPr>
          <w:rFonts w:ascii="Didot" w:hAnsi="Didot" w:cs="Didot"/>
          <w:sz w:val="22"/>
          <w:szCs w:val="22"/>
        </w:rPr>
      </w:pPr>
    </w:p>
    <w:p w14:paraId="261D89FF"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A 2013 report by the WHO, the LSHTM and the MRC South Africa presenting the first global systematic review and synthesis of the prevalence of intimate partner violence worldwide found that globally </w:t>
      </w:r>
      <w:proofErr w:type="gramStart"/>
      <w:r w:rsidRPr="00907B3C">
        <w:rPr>
          <w:rFonts w:ascii="Didot" w:hAnsi="Didot" w:cs="Didot"/>
          <w:sz w:val="22"/>
          <w:szCs w:val="22"/>
        </w:rPr>
        <w:t>35%</w:t>
      </w:r>
      <w:proofErr w:type="gramEnd"/>
      <w:r w:rsidRPr="00907B3C">
        <w:rPr>
          <w:rFonts w:ascii="Didot" w:hAnsi="Didot" w:cs="Didot"/>
          <w:sz w:val="22"/>
          <w:szCs w:val="22"/>
        </w:rPr>
        <w:t xml:space="preserve"> of women worldwide have experienced either physical and/or sexual violence by an intimate partner or sexual violence by a non-partner.</w:t>
      </w:r>
      <w:proofErr w:type="gramStart"/>
      <w:r w:rsidRPr="00907B3C">
        <w:rPr>
          <w:rFonts w:ascii="Didot" w:hAnsi="Didot" w:cs="Didot"/>
          <w:sz w:val="22"/>
          <w:szCs w:val="22"/>
        </w:rPr>
        <w:t xml:space="preserve">( 1 ) </w:t>
      </w:r>
      <w:proofErr w:type="gramEnd"/>
      <w:r w:rsidRPr="00907B3C">
        <w:rPr>
          <w:rFonts w:ascii="Didot" w:hAnsi="Didot" w:cs="Didot"/>
          <w:sz w:val="22"/>
          <w:szCs w:val="22"/>
        </w:rPr>
        <w:t xml:space="preserve">Most of this violence is intimate partner violence. Worldwide </w:t>
      </w:r>
      <w:proofErr w:type="gramStart"/>
      <w:r w:rsidRPr="00907B3C">
        <w:rPr>
          <w:rFonts w:ascii="Didot" w:hAnsi="Didot" w:cs="Didot"/>
          <w:sz w:val="22"/>
          <w:szCs w:val="22"/>
        </w:rPr>
        <w:t>30%</w:t>
      </w:r>
      <w:proofErr w:type="gramEnd"/>
      <w:r w:rsidRPr="00907B3C">
        <w:rPr>
          <w:rFonts w:ascii="Didot" w:hAnsi="Didot" w:cs="Didot"/>
          <w:sz w:val="22"/>
          <w:szCs w:val="22"/>
        </w:rPr>
        <w:t xml:space="preserve"> of women who have been partnered experience physical and/or sexual violence by an intimate partner. While intimate partner violence is widespread, there are wide variations in its prevalence. </w:t>
      </w:r>
      <w:proofErr w:type="gramStart"/>
      <w:r w:rsidRPr="00907B3C">
        <w:rPr>
          <w:rFonts w:ascii="Didot" w:hAnsi="Didot" w:cs="Didot"/>
          <w:sz w:val="22"/>
          <w:szCs w:val="22"/>
        </w:rPr>
        <w:t>(1,  7) In particular ‘current’</w:t>
      </w:r>
      <w:proofErr w:type="gramEnd"/>
      <w:r w:rsidRPr="00907B3C">
        <w:rPr>
          <w:rFonts w:ascii="Didot" w:hAnsi="Didot" w:cs="Didot"/>
          <w:sz w:val="22"/>
          <w:szCs w:val="22"/>
        </w:rPr>
        <w:t xml:space="preserve"> partner violence (i.e. in the last 12 months) varies greatly between high income countries where it is between 3% to 6% and low-income countries where it is between 30% and 56%. </w:t>
      </w:r>
    </w:p>
    <w:p w14:paraId="5643CAAF" w14:textId="77777777" w:rsidR="00526673" w:rsidRPr="00907B3C" w:rsidRDefault="00B552DA" w:rsidP="008A7E29">
      <w:pPr>
        <w:jc w:val="both"/>
        <w:rPr>
          <w:rFonts w:ascii="Didot" w:hAnsi="Didot" w:cs="Didot"/>
          <w:sz w:val="22"/>
          <w:szCs w:val="22"/>
        </w:rPr>
      </w:pPr>
      <w:r w:rsidRPr="00907B3C">
        <w:rPr>
          <w:rFonts w:ascii="Didot" w:hAnsi="Didot" w:cs="Didot"/>
          <w:sz w:val="22"/>
          <w:szCs w:val="22"/>
        </w:rPr>
        <w:t xml:space="preserve">Globally as many as </w:t>
      </w:r>
      <w:proofErr w:type="gramStart"/>
      <w:r w:rsidRPr="00907B3C">
        <w:rPr>
          <w:rFonts w:ascii="Didot" w:hAnsi="Didot" w:cs="Didot"/>
          <w:sz w:val="22"/>
          <w:szCs w:val="22"/>
        </w:rPr>
        <w:t>38%</w:t>
      </w:r>
      <w:proofErr w:type="gramEnd"/>
      <w:r w:rsidRPr="00907B3C">
        <w:rPr>
          <w:rFonts w:ascii="Didot" w:hAnsi="Didot" w:cs="Didot"/>
          <w:sz w:val="22"/>
          <w:szCs w:val="22"/>
        </w:rPr>
        <w:t xml:space="preserve"> of all murders of women are committed by intimate partners.  Women who have experienced intimate partner violence also report higher rates of important health problems, including depression, sexually transmitted infections and HIV. Violence against women is also associated with unwanted pregnancies, abortions, injuries, and when it occurs during pregnancy it can also lead to miscarriage, premature birth, or low-birth weight or (1)</w:t>
      </w:r>
      <w:r w:rsidR="00526673" w:rsidRPr="00907B3C">
        <w:rPr>
          <w:rFonts w:ascii="Didot" w:hAnsi="Didot" w:cs="Didot"/>
          <w:sz w:val="22"/>
          <w:szCs w:val="22"/>
        </w:rPr>
        <w:t>.</w:t>
      </w:r>
    </w:p>
    <w:p w14:paraId="01C38D9F" w14:textId="77777777" w:rsidR="00526673" w:rsidRPr="00907B3C" w:rsidRDefault="00526673" w:rsidP="008A7E29">
      <w:pPr>
        <w:jc w:val="both"/>
        <w:rPr>
          <w:rFonts w:ascii="Didot" w:hAnsi="Didot" w:cs="Didot"/>
          <w:sz w:val="22"/>
          <w:szCs w:val="22"/>
        </w:rPr>
      </w:pPr>
    </w:p>
    <w:p w14:paraId="461CAB68"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The ecological model has been used to explain the range of factors that have found to be associated with intimate partner violence (8,9). The focus of research has been on individual level risk factors, but it is hard to identify one causal factor, rather it is the interaction of individual, family, community and macro-level factors that contribute to the prevalence of violence at a population level. (2, 8, 10) At the macro and community level, inequality in ownership rights, laws that discriminate against women, GDP, social norms approving ‘wife beating’, social norms of male control of female behaviour appear significant. Woman-related factors include child sexual abuse, witnessing parental violence during childhood, employment/participation in credit schemes/owning land or other assets and completing secondary school, all of which are amenable to interventions. Partner-related factors include child abuse, antisocial behaviour or other psychological problems, attitudes and beliefs related to partner violence and to acceptance of violence, alcohol misuse. </w:t>
      </w:r>
      <w:proofErr w:type="gramStart"/>
      <w:r w:rsidRPr="00907B3C">
        <w:rPr>
          <w:rFonts w:ascii="Didot" w:hAnsi="Didot" w:cs="Didot"/>
          <w:sz w:val="22"/>
          <w:szCs w:val="22"/>
        </w:rPr>
        <w:t>Qualitative data suggests that the presence of  ‘sanctuary’</w:t>
      </w:r>
      <w:proofErr w:type="gramEnd"/>
      <w:r w:rsidRPr="00907B3C">
        <w:rPr>
          <w:rFonts w:ascii="Didot" w:hAnsi="Didot" w:cs="Didot"/>
          <w:sz w:val="22"/>
          <w:szCs w:val="22"/>
        </w:rPr>
        <w:t xml:space="preserve"> (safe spaces) for women and of social sanctions also contribute to the overall levels of violence. (11) </w:t>
      </w:r>
    </w:p>
    <w:p w14:paraId="54E899C9" w14:textId="77777777" w:rsidR="00526673" w:rsidRPr="00907B3C" w:rsidRDefault="00526673" w:rsidP="008A7E29">
      <w:pPr>
        <w:jc w:val="both"/>
        <w:rPr>
          <w:rFonts w:ascii="Didot" w:hAnsi="Didot" w:cs="Didot"/>
          <w:sz w:val="22"/>
          <w:szCs w:val="22"/>
        </w:rPr>
      </w:pPr>
    </w:p>
    <w:p w14:paraId="7A609F2A"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While attention has been focused on individual risk factors such as exposure to violence during childhood, personality disorders, harmful alcohol use, new analyses by Heise and </w:t>
      </w:r>
      <w:proofErr w:type="gramStart"/>
      <w:r w:rsidRPr="00907B3C">
        <w:rPr>
          <w:rFonts w:ascii="Didot" w:hAnsi="Didot" w:cs="Didot"/>
          <w:sz w:val="22"/>
          <w:szCs w:val="22"/>
        </w:rPr>
        <w:t>Kotsadam,  show</w:t>
      </w:r>
      <w:proofErr w:type="gramEnd"/>
      <w:r w:rsidRPr="00907B3C">
        <w:rPr>
          <w:rFonts w:ascii="Didot" w:hAnsi="Didot" w:cs="Didot"/>
          <w:sz w:val="22"/>
          <w:szCs w:val="22"/>
        </w:rPr>
        <w:t xml:space="preserve"> that macro-level factors, in particular gender norms (i.e. norms related to male authority over female behaviour) or norms justifying partner abuse and the presence of laws that disadvantage women predict to some extent the prevalence of current partner violence. (12) They also mediate individual risk factors. Addressing these factors can potentially impact the population level prevalence of intimate partner violence in low- and middle-income countries.</w:t>
      </w:r>
    </w:p>
    <w:p w14:paraId="67C704B8" w14:textId="77777777" w:rsidR="00526673" w:rsidRPr="00907B3C" w:rsidRDefault="00526673" w:rsidP="008A7E29">
      <w:pPr>
        <w:jc w:val="both"/>
        <w:rPr>
          <w:rFonts w:ascii="Didot" w:hAnsi="Didot" w:cs="Didot"/>
          <w:sz w:val="22"/>
          <w:szCs w:val="22"/>
        </w:rPr>
      </w:pPr>
    </w:p>
    <w:p w14:paraId="590CE76D"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Two recent reviews of what works to prevent violence against women identify a range of areas for potential intervention, but few strategies have been rigorously evaluated with more than one randomized controlled trial in different settings. (2,3) </w:t>
      </w:r>
      <w:r w:rsidRPr="00907B3C">
        <w:rPr>
          <w:rFonts w:ascii="Didot" w:hAnsi="Didot" w:cs="Didot"/>
          <w:sz w:val="22"/>
          <w:szCs w:val="22"/>
        </w:rPr>
        <w:lastRenderedPageBreak/>
        <w:t>Most of the evidence comes from high income countries and is primarily focused on preventing dating violence through school-based interventions among young people. (2)</w:t>
      </w:r>
    </w:p>
    <w:p w14:paraId="5F171F9B" w14:textId="77777777" w:rsidR="00526673" w:rsidRPr="00907B3C" w:rsidRDefault="00526673" w:rsidP="008A7E29">
      <w:pPr>
        <w:jc w:val="both"/>
        <w:rPr>
          <w:rFonts w:ascii="Didot" w:hAnsi="Didot" w:cs="Didot"/>
          <w:sz w:val="22"/>
          <w:szCs w:val="22"/>
        </w:rPr>
      </w:pPr>
    </w:p>
    <w:p w14:paraId="15246370"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There are, however, other promising strategies that require further testing and that seek to address gender inequality. One of these is an intervention focused on economic and social empowerment of women which was shown in a cluster RCT to reduce violence by </w:t>
      </w:r>
      <w:proofErr w:type="gramStart"/>
      <w:r w:rsidRPr="00907B3C">
        <w:rPr>
          <w:rFonts w:ascii="Didot" w:hAnsi="Didot" w:cs="Didot"/>
          <w:sz w:val="22"/>
          <w:szCs w:val="22"/>
        </w:rPr>
        <w:t>50%</w:t>
      </w:r>
      <w:proofErr w:type="gramEnd"/>
      <w:r w:rsidRPr="00907B3C">
        <w:rPr>
          <w:rFonts w:ascii="Didot" w:hAnsi="Didot" w:cs="Didot"/>
          <w:sz w:val="22"/>
          <w:szCs w:val="22"/>
        </w:rPr>
        <w:t xml:space="preserve"> over a two year period. (4, 13). Increasing women’s access to secondary education is also important as this has been shown to be a protective factor, although its effects can be mediated by social norms. There is some evidence that economic empowerment interventions reduce violence, although this varies by setting. The impact of conditional cash transfer programmes on partner violence has found mixed results, but none of these programmes have set out to impact partner violence. Designing and evaluating </w:t>
      </w:r>
      <w:proofErr w:type="gramStart"/>
      <w:r w:rsidRPr="00907B3C">
        <w:rPr>
          <w:rFonts w:ascii="Didot" w:hAnsi="Didot" w:cs="Didot"/>
          <w:sz w:val="22"/>
          <w:szCs w:val="22"/>
        </w:rPr>
        <w:t>programmes  that</w:t>
      </w:r>
      <w:proofErr w:type="gramEnd"/>
      <w:r w:rsidRPr="00907B3C">
        <w:rPr>
          <w:rFonts w:ascii="Didot" w:hAnsi="Didot" w:cs="Didot"/>
          <w:sz w:val="22"/>
          <w:szCs w:val="22"/>
        </w:rPr>
        <w:t xml:space="preserve"> specifically address intimate partner violence would be useful.(3)</w:t>
      </w:r>
    </w:p>
    <w:p w14:paraId="30078945" w14:textId="77777777" w:rsidR="00526673" w:rsidRPr="00907B3C" w:rsidRDefault="00526673" w:rsidP="008A7E29">
      <w:pPr>
        <w:jc w:val="both"/>
        <w:rPr>
          <w:rFonts w:ascii="Didot" w:hAnsi="Didot" w:cs="Didot"/>
          <w:sz w:val="22"/>
          <w:szCs w:val="22"/>
        </w:rPr>
      </w:pPr>
    </w:p>
    <w:p w14:paraId="2C29DDC8"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Prevention programmes need to address the context of gender inequality in which most intimate </w:t>
      </w:r>
      <w:proofErr w:type="gramStart"/>
      <w:r w:rsidRPr="00907B3C">
        <w:rPr>
          <w:rFonts w:ascii="Didot" w:hAnsi="Didot" w:cs="Didot"/>
          <w:sz w:val="22"/>
          <w:szCs w:val="22"/>
        </w:rPr>
        <w:t>partner  violence</w:t>
      </w:r>
      <w:proofErr w:type="gramEnd"/>
      <w:r w:rsidRPr="00907B3C">
        <w:rPr>
          <w:rFonts w:ascii="Didot" w:hAnsi="Didot" w:cs="Didot"/>
          <w:sz w:val="22"/>
          <w:szCs w:val="22"/>
        </w:rPr>
        <w:t xml:space="preserve"> takes place. In particular social norms on the acceptability of violence against women and on male dominance over women.  </w:t>
      </w:r>
      <w:proofErr w:type="gramStart"/>
      <w:r w:rsidRPr="00907B3C">
        <w:rPr>
          <w:rFonts w:ascii="Didot" w:hAnsi="Didot" w:cs="Didot"/>
          <w:sz w:val="22"/>
          <w:szCs w:val="22"/>
        </w:rPr>
        <w:t>Efforts to do this range from media awareness campaigns  to ‘edutainment’</w:t>
      </w:r>
      <w:proofErr w:type="gramEnd"/>
      <w:r w:rsidRPr="00907B3C">
        <w:rPr>
          <w:rFonts w:ascii="Didot" w:hAnsi="Didot" w:cs="Didot"/>
          <w:sz w:val="22"/>
          <w:szCs w:val="22"/>
        </w:rPr>
        <w:t xml:space="preserve"> efforts that include media but combine this with educational and peer support interventions aimed at changing attitudes and behaviours. Two of these have some form of evaluation: Soul City in South Africa and Sexto Sentido in Nicaragua. Both showed changes in attitudes and beliefs but neither evaluation looked at behaviour changes. (2,</w:t>
      </w:r>
      <w:proofErr w:type="gramStart"/>
      <w:r w:rsidRPr="00907B3C">
        <w:rPr>
          <w:rFonts w:ascii="Didot" w:hAnsi="Didot" w:cs="Didot"/>
          <w:sz w:val="22"/>
          <w:szCs w:val="22"/>
        </w:rPr>
        <w:t>3)  Other</w:t>
      </w:r>
      <w:proofErr w:type="gramEnd"/>
      <w:r w:rsidRPr="00907B3C">
        <w:rPr>
          <w:rFonts w:ascii="Didot" w:hAnsi="Didot" w:cs="Didot"/>
          <w:sz w:val="22"/>
          <w:szCs w:val="22"/>
        </w:rPr>
        <w:t xml:space="preserve"> approaches to social norm changes have focused on small group participatory transformative interventions, such as Stepping Stones which was evaluated through an RCT. (14) Others target community level change like </w:t>
      </w:r>
      <w:proofErr w:type="gramStart"/>
      <w:r w:rsidRPr="00907B3C">
        <w:rPr>
          <w:rFonts w:ascii="Didot" w:hAnsi="Didot" w:cs="Didot"/>
          <w:sz w:val="22"/>
          <w:szCs w:val="22"/>
        </w:rPr>
        <w:t>SASA</w:t>
      </w:r>
      <w:r w:rsidR="007F4EDF" w:rsidRPr="00907B3C">
        <w:rPr>
          <w:rFonts w:ascii="Didot" w:hAnsi="Didot" w:cs="Didot"/>
          <w:sz w:val="22"/>
          <w:szCs w:val="22"/>
        </w:rPr>
        <w:t xml:space="preserve"> </w:t>
      </w:r>
      <w:r w:rsidRPr="00907B3C">
        <w:rPr>
          <w:rFonts w:ascii="Didot" w:hAnsi="Didot" w:cs="Didot"/>
          <w:sz w:val="22"/>
          <w:szCs w:val="22"/>
        </w:rPr>
        <w:t xml:space="preserve"> in</w:t>
      </w:r>
      <w:proofErr w:type="gramEnd"/>
      <w:r w:rsidRPr="00907B3C">
        <w:rPr>
          <w:rFonts w:ascii="Didot" w:hAnsi="Didot" w:cs="Didot"/>
          <w:sz w:val="22"/>
          <w:szCs w:val="22"/>
        </w:rPr>
        <w:t xml:space="preserve"> Uganda (15) and the Gender Roles, Equality and Transformation (GREAT) project in Uganda which seeks to promote formation of gender-equitable norms and adoption of attitudes and behaviours that will influence health positively among boys and girls ages 10 to 19 years (16), both of which are being evaluated.  </w:t>
      </w:r>
    </w:p>
    <w:p w14:paraId="5D2E0098" w14:textId="77777777" w:rsidR="00526673" w:rsidRPr="00907B3C" w:rsidRDefault="00526673" w:rsidP="008A7E29">
      <w:pPr>
        <w:jc w:val="both"/>
        <w:rPr>
          <w:rFonts w:ascii="Didot" w:hAnsi="Didot" w:cs="Didot"/>
          <w:sz w:val="22"/>
          <w:szCs w:val="22"/>
        </w:rPr>
      </w:pPr>
    </w:p>
    <w:p w14:paraId="48D9B73D"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Health sector based responses to women subjected to violence have an important role to play </w:t>
      </w:r>
      <w:proofErr w:type="gramStart"/>
      <w:r w:rsidRPr="00907B3C">
        <w:rPr>
          <w:rFonts w:ascii="Didot" w:hAnsi="Didot" w:cs="Didot"/>
          <w:sz w:val="22"/>
          <w:szCs w:val="22"/>
        </w:rPr>
        <w:t>in  secondary</w:t>
      </w:r>
      <w:proofErr w:type="gramEnd"/>
      <w:r w:rsidRPr="00907B3C">
        <w:rPr>
          <w:rFonts w:ascii="Didot" w:hAnsi="Didot" w:cs="Didot"/>
          <w:sz w:val="22"/>
          <w:szCs w:val="22"/>
        </w:rPr>
        <w:t xml:space="preserve"> prevention. Health systems can play a stronger role in identifying violence and addressing its associated health problems, e.g. maternal depression and alcohol and other substance misuse, so as to prevent or reduce recurrence of violence and mitigate its consequences. Early identification and psychotherapeutic responses for children witnessing partner violence can play a role in primary prevention. (5,6) The health sector can also advocate for violence prevention support community-based prevention efforts.  Antenatal care offers opportunities to reduce violence, address its consequences. (5, 17). An example of intervention in antenatal care with potential for primary prevention is a programme </w:t>
      </w:r>
      <w:proofErr w:type="gramStart"/>
      <w:r w:rsidRPr="00907B3C">
        <w:rPr>
          <w:rFonts w:ascii="Didot" w:hAnsi="Didot" w:cs="Didot"/>
          <w:sz w:val="22"/>
          <w:szCs w:val="22"/>
        </w:rPr>
        <w:t>targeting  first</w:t>
      </w:r>
      <w:proofErr w:type="gramEnd"/>
      <w:r w:rsidRPr="00907B3C">
        <w:rPr>
          <w:rFonts w:ascii="Didot" w:hAnsi="Didot" w:cs="Didot"/>
          <w:sz w:val="22"/>
          <w:szCs w:val="22"/>
        </w:rPr>
        <w:t>-time fathers to enhance the mental health and marital relationship of expectant couples being tried in Hong Kong. (18)</w:t>
      </w:r>
    </w:p>
    <w:p w14:paraId="635767D7" w14:textId="77777777" w:rsidR="00B552DA" w:rsidRPr="00907B3C" w:rsidRDefault="00B552DA" w:rsidP="008A7E29">
      <w:pPr>
        <w:autoSpaceDE w:val="0"/>
        <w:autoSpaceDN w:val="0"/>
        <w:adjustRightInd w:val="0"/>
        <w:jc w:val="both"/>
        <w:rPr>
          <w:rFonts w:ascii="Didot" w:hAnsi="Didot" w:cs="Didot"/>
          <w:sz w:val="22"/>
          <w:szCs w:val="22"/>
        </w:rPr>
      </w:pPr>
    </w:p>
    <w:p w14:paraId="2B37844A" w14:textId="77777777" w:rsidR="00B552DA" w:rsidRPr="00907B3C" w:rsidRDefault="00B552DA" w:rsidP="008A7E29">
      <w:pPr>
        <w:autoSpaceDE w:val="0"/>
        <w:autoSpaceDN w:val="0"/>
        <w:adjustRightInd w:val="0"/>
        <w:jc w:val="both"/>
        <w:rPr>
          <w:rFonts w:ascii="Didot" w:hAnsi="Didot" w:cs="Didot"/>
          <w:b/>
          <w:bCs/>
          <w:sz w:val="22"/>
          <w:szCs w:val="22"/>
        </w:rPr>
      </w:pPr>
    </w:p>
    <w:p w14:paraId="0BDAD4EA" w14:textId="78FB4300" w:rsidR="00526673" w:rsidRPr="00907B3C" w:rsidRDefault="00B34EBC" w:rsidP="008A7E29">
      <w:pPr>
        <w:autoSpaceDE w:val="0"/>
        <w:autoSpaceDN w:val="0"/>
        <w:adjustRightInd w:val="0"/>
        <w:jc w:val="both"/>
        <w:rPr>
          <w:rFonts w:ascii="Didot" w:hAnsi="Didot" w:cs="Didot"/>
          <w:b/>
          <w:bCs/>
          <w:sz w:val="22"/>
          <w:szCs w:val="22"/>
        </w:rPr>
      </w:pPr>
      <w:r>
        <w:rPr>
          <w:rFonts w:ascii="Didot" w:hAnsi="Didot" w:cs="Didot"/>
          <w:b/>
          <w:bCs/>
          <w:sz w:val="22"/>
          <w:szCs w:val="22"/>
        </w:rPr>
        <w:br w:type="column"/>
      </w:r>
      <w:r w:rsidR="00526673" w:rsidRPr="00907B3C">
        <w:rPr>
          <w:rFonts w:ascii="Didot" w:hAnsi="Didot" w:cs="Didot"/>
          <w:b/>
          <w:bCs/>
          <w:sz w:val="22"/>
          <w:szCs w:val="22"/>
        </w:rPr>
        <w:lastRenderedPageBreak/>
        <w:t>Conclusions/recommendations</w:t>
      </w:r>
    </w:p>
    <w:p w14:paraId="6526DA2A" w14:textId="77777777" w:rsidR="00B552DA" w:rsidRPr="00907B3C" w:rsidRDefault="00B552DA" w:rsidP="008A7E29">
      <w:pPr>
        <w:autoSpaceDE w:val="0"/>
        <w:autoSpaceDN w:val="0"/>
        <w:adjustRightInd w:val="0"/>
        <w:jc w:val="both"/>
        <w:rPr>
          <w:rFonts w:ascii="Didot" w:hAnsi="Didot" w:cs="Didot"/>
          <w:b/>
          <w:bCs/>
          <w:sz w:val="22"/>
          <w:szCs w:val="22"/>
        </w:rPr>
      </w:pPr>
    </w:p>
    <w:p w14:paraId="1E8C7033"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Addressing gender inequality is central to reducing intimate partner violence in low- and middle-income countries. This includes attention to laws, policies and other regulations that disadvantage women and perpetuate inequality, for example in inheritance, or property or credit rights, access to divorce or to safe and remunerated employment. It also requires interventions targeting community-level and individual-level social norms around the acceptability of violence and male control over women. </w:t>
      </w:r>
    </w:p>
    <w:p w14:paraId="0CB9206F"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Preventing violence requires a multi-sectoral response where each sector has a clear role </w:t>
      </w:r>
      <w:proofErr w:type="gramStart"/>
      <w:r w:rsidRPr="00907B3C">
        <w:rPr>
          <w:rFonts w:ascii="Didot" w:hAnsi="Didot" w:cs="Didot"/>
          <w:sz w:val="22"/>
          <w:szCs w:val="22"/>
        </w:rPr>
        <w:t>to  play</w:t>
      </w:r>
      <w:proofErr w:type="gramEnd"/>
      <w:r w:rsidRPr="00907B3C">
        <w:rPr>
          <w:rFonts w:ascii="Didot" w:hAnsi="Didot" w:cs="Didot"/>
          <w:sz w:val="22"/>
          <w:szCs w:val="22"/>
        </w:rPr>
        <w:t xml:space="preserve">. All entry points are useful, as long as there </w:t>
      </w:r>
      <w:proofErr w:type="gramStart"/>
      <w:r w:rsidRPr="00907B3C">
        <w:rPr>
          <w:rFonts w:ascii="Didot" w:hAnsi="Didot" w:cs="Didot"/>
          <w:sz w:val="22"/>
          <w:szCs w:val="22"/>
        </w:rPr>
        <w:t>is  coherence</w:t>
      </w:r>
      <w:proofErr w:type="gramEnd"/>
      <w:r w:rsidRPr="00907B3C">
        <w:rPr>
          <w:rFonts w:ascii="Didot" w:hAnsi="Didot" w:cs="Didot"/>
          <w:sz w:val="22"/>
          <w:szCs w:val="22"/>
        </w:rPr>
        <w:t xml:space="preserve"> across the spectrum of prevention programming.</w:t>
      </w:r>
    </w:p>
    <w:p w14:paraId="351DF5E0"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The health sector’s role in this multi-sectoral response needs to be strengthened as their role in identification and early </w:t>
      </w:r>
      <w:proofErr w:type="gramStart"/>
      <w:r w:rsidRPr="00907B3C">
        <w:rPr>
          <w:rFonts w:ascii="Didot" w:hAnsi="Didot" w:cs="Didot"/>
          <w:sz w:val="22"/>
          <w:szCs w:val="22"/>
        </w:rPr>
        <w:t>intervention  is</w:t>
      </w:r>
      <w:proofErr w:type="gramEnd"/>
      <w:r w:rsidRPr="00907B3C">
        <w:rPr>
          <w:rFonts w:ascii="Didot" w:hAnsi="Didot" w:cs="Didot"/>
          <w:sz w:val="22"/>
          <w:szCs w:val="22"/>
        </w:rPr>
        <w:t xml:space="preserve"> critical. </w:t>
      </w:r>
    </w:p>
    <w:p w14:paraId="596E6B04"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There is an urgent need for more evaluation of ongoing programmes, </w:t>
      </w:r>
      <w:proofErr w:type="gramStart"/>
      <w:r w:rsidRPr="00907B3C">
        <w:rPr>
          <w:rFonts w:ascii="Didot" w:hAnsi="Didot" w:cs="Didot"/>
          <w:sz w:val="22"/>
          <w:szCs w:val="22"/>
        </w:rPr>
        <w:t>adaptation</w:t>
      </w:r>
      <w:proofErr w:type="gramEnd"/>
      <w:r w:rsidRPr="00907B3C">
        <w:rPr>
          <w:rFonts w:ascii="Didot" w:hAnsi="Didot" w:cs="Didot"/>
          <w:sz w:val="22"/>
          <w:szCs w:val="22"/>
        </w:rPr>
        <w:t xml:space="preserve"> and replication of existing promising programmes in different settings. Research is needed to support evidence building for addressing intimate partner violence, but it needs to be based on building stronger partnerships between researchers and programme developers and implementers. </w:t>
      </w:r>
    </w:p>
    <w:p w14:paraId="7C0C4DB8" w14:textId="77777777" w:rsidR="00B552DA" w:rsidRPr="00907B3C" w:rsidRDefault="00B552DA" w:rsidP="008A7E29">
      <w:pPr>
        <w:jc w:val="both"/>
        <w:rPr>
          <w:rFonts w:ascii="Didot" w:hAnsi="Didot" w:cs="Didot"/>
          <w:b/>
          <w:bCs/>
          <w:sz w:val="22"/>
          <w:szCs w:val="22"/>
        </w:rPr>
      </w:pPr>
      <w:r w:rsidRPr="00907B3C">
        <w:rPr>
          <w:rFonts w:ascii="Didot" w:hAnsi="Didot" w:cs="Didot"/>
          <w:sz w:val="22"/>
          <w:szCs w:val="22"/>
        </w:rPr>
        <w:t>.</w:t>
      </w:r>
    </w:p>
    <w:p w14:paraId="7F0E80CE" w14:textId="77777777" w:rsidR="00B552DA" w:rsidRPr="00907B3C" w:rsidRDefault="00B552DA" w:rsidP="008A7E29">
      <w:pPr>
        <w:jc w:val="both"/>
        <w:rPr>
          <w:rFonts w:ascii="Didot" w:hAnsi="Didot" w:cs="Didot"/>
          <w:b/>
          <w:bCs/>
          <w:sz w:val="22"/>
          <w:szCs w:val="22"/>
        </w:rPr>
      </w:pPr>
      <w:r w:rsidRPr="00907B3C">
        <w:rPr>
          <w:rFonts w:ascii="Didot" w:hAnsi="Didot" w:cs="Didot"/>
          <w:b/>
          <w:bCs/>
          <w:sz w:val="22"/>
          <w:szCs w:val="22"/>
        </w:rPr>
        <w:t>References</w:t>
      </w:r>
    </w:p>
    <w:p w14:paraId="6A704D81" w14:textId="77777777" w:rsidR="00B552DA" w:rsidRPr="00907B3C" w:rsidRDefault="00B552DA" w:rsidP="008A7E29">
      <w:pPr>
        <w:jc w:val="both"/>
        <w:rPr>
          <w:rFonts w:ascii="Didot" w:hAnsi="Didot" w:cs="Didot"/>
          <w:sz w:val="22"/>
          <w:szCs w:val="22"/>
        </w:rPr>
      </w:pPr>
    </w:p>
    <w:p w14:paraId="715A32A4"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1. World Health Organization, Department of Reproductive Health and Research, London School of Hygiene and Tropical Medicine, South African Medical Research Council. </w:t>
      </w:r>
      <w:r w:rsidRPr="00907B3C">
        <w:rPr>
          <w:rFonts w:ascii="Didot" w:hAnsi="Didot" w:cs="Didot"/>
          <w:i/>
          <w:iCs/>
          <w:sz w:val="22"/>
          <w:szCs w:val="22"/>
        </w:rPr>
        <w:t>Global and regional estimates of violence against women: prevalence and health effects of intimate partner violence and non-partner sexual violence</w:t>
      </w:r>
      <w:r w:rsidRPr="00907B3C">
        <w:rPr>
          <w:rFonts w:ascii="Didot" w:hAnsi="Didot" w:cs="Didot"/>
          <w:sz w:val="22"/>
          <w:szCs w:val="22"/>
        </w:rPr>
        <w:t>. Geneva, World Health Organization. 2013.</w:t>
      </w:r>
    </w:p>
    <w:p w14:paraId="2C55A32F" w14:textId="77777777" w:rsidR="00B552DA" w:rsidRPr="00907B3C" w:rsidRDefault="00B552DA" w:rsidP="008A7E29">
      <w:pPr>
        <w:jc w:val="both"/>
        <w:rPr>
          <w:rFonts w:ascii="Didot" w:hAnsi="Didot" w:cs="Didot"/>
          <w:sz w:val="22"/>
          <w:szCs w:val="22"/>
        </w:rPr>
      </w:pPr>
    </w:p>
    <w:p w14:paraId="6C62013D"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2. World Health Organization, London School of Hygiene and Tropical Medicine. </w:t>
      </w:r>
      <w:r w:rsidRPr="00907B3C">
        <w:rPr>
          <w:rFonts w:ascii="Didot" w:hAnsi="Didot" w:cs="Didot"/>
          <w:i/>
          <w:iCs/>
          <w:sz w:val="22"/>
          <w:szCs w:val="22"/>
        </w:rPr>
        <w:t>Preventing intimate partner and sexual violence against women: taking action and generating evidence</w:t>
      </w:r>
      <w:r w:rsidRPr="00907B3C">
        <w:rPr>
          <w:rFonts w:ascii="Didot" w:hAnsi="Didot" w:cs="Didot"/>
          <w:sz w:val="22"/>
          <w:szCs w:val="22"/>
        </w:rPr>
        <w:t>. Geneva, World Health Organization, 2010.</w:t>
      </w:r>
    </w:p>
    <w:p w14:paraId="06D65FB9" w14:textId="77777777" w:rsidR="00B552DA" w:rsidRPr="00907B3C" w:rsidRDefault="00B552DA" w:rsidP="008A7E29">
      <w:pPr>
        <w:jc w:val="both"/>
        <w:rPr>
          <w:rFonts w:ascii="Didot" w:hAnsi="Didot" w:cs="Didot"/>
          <w:sz w:val="22"/>
          <w:szCs w:val="22"/>
        </w:rPr>
      </w:pPr>
    </w:p>
    <w:p w14:paraId="6922F8AC"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3. Heise LL. </w:t>
      </w:r>
      <w:r w:rsidRPr="00907B3C">
        <w:rPr>
          <w:rFonts w:ascii="Didot" w:hAnsi="Didot" w:cs="Didot"/>
          <w:i/>
          <w:iCs/>
          <w:sz w:val="22"/>
          <w:szCs w:val="22"/>
        </w:rPr>
        <w:t>What works to prevent partner violence? An evidence overview</w:t>
      </w:r>
      <w:r w:rsidRPr="00907B3C">
        <w:rPr>
          <w:rFonts w:ascii="Didot" w:hAnsi="Didot" w:cs="Didot"/>
          <w:sz w:val="22"/>
          <w:szCs w:val="22"/>
        </w:rPr>
        <w:t>. London, STRIVE Research Consortium, London School of Hygiene and Tropical Medicine, 2011.</w:t>
      </w:r>
    </w:p>
    <w:p w14:paraId="7DAACEB9" w14:textId="77777777" w:rsidR="00B552DA" w:rsidRPr="00907B3C" w:rsidRDefault="00B552DA" w:rsidP="008A7E29">
      <w:pPr>
        <w:jc w:val="both"/>
        <w:rPr>
          <w:rFonts w:ascii="Didot" w:hAnsi="Didot" w:cs="Didot"/>
          <w:sz w:val="22"/>
          <w:szCs w:val="22"/>
        </w:rPr>
      </w:pPr>
    </w:p>
    <w:p w14:paraId="1CC99329"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4. Pronyk PM et al. Effect of a structural intervention for the prevention of intimate-partner violence and HIV in rural South Africa: a cluster randomised trial. </w:t>
      </w:r>
      <w:r w:rsidRPr="00907B3C">
        <w:rPr>
          <w:rFonts w:ascii="Didot" w:hAnsi="Didot" w:cs="Didot"/>
          <w:i/>
          <w:iCs/>
          <w:sz w:val="22"/>
          <w:szCs w:val="22"/>
        </w:rPr>
        <w:t>The Lancet</w:t>
      </w:r>
      <w:r w:rsidRPr="00907B3C">
        <w:rPr>
          <w:rFonts w:ascii="Didot" w:hAnsi="Didot" w:cs="Didot"/>
          <w:sz w:val="22"/>
          <w:szCs w:val="22"/>
        </w:rPr>
        <w:t xml:space="preserve"> 2006, 368 (9551): 1973-1983</w:t>
      </w:r>
    </w:p>
    <w:p w14:paraId="7C1F3A6C" w14:textId="77777777" w:rsidR="00B552DA" w:rsidRPr="00907B3C" w:rsidRDefault="00B552DA" w:rsidP="008A7E29">
      <w:pPr>
        <w:jc w:val="both"/>
        <w:rPr>
          <w:rFonts w:ascii="Didot" w:hAnsi="Didot" w:cs="Didot"/>
          <w:sz w:val="22"/>
          <w:szCs w:val="22"/>
        </w:rPr>
      </w:pPr>
    </w:p>
    <w:p w14:paraId="551139B8"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5. World Health Organization. </w:t>
      </w:r>
      <w:r w:rsidRPr="00907B3C">
        <w:rPr>
          <w:rFonts w:ascii="Didot" w:hAnsi="Didot" w:cs="Didot"/>
          <w:i/>
          <w:iCs/>
          <w:sz w:val="22"/>
          <w:szCs w:val="22"/>
        </w:rPr>
        <w:t>Responding to intimate partner violence and sexual violence against women: WHO clinical and policy guidelines</w:t>
      </w:r>
      <w:r w:rsidRPr="00907B3C">
        <w:rPr>
          <w:rFonts w:ascii="Didot" w:hAnsi="Didot" w:cs="Didot"/>
          <w:sz w:val="22"/>
          <w:szCs w:val="22"/>
        </w:rPr>
        <w:t>. Geneva, World Health Organization, 2013. (http://www.who.int/reproductivehealth/publications/violence/9789241548595/en</w:t>
      </w:r>
      <w:proofErr w:type="gramStart"/>
      <w:r w:rsidRPr="00907B3C">
        <w:rPr>
          <w:rFonts w:ascii="Didot" w:hAnsi="Didot" w:cs="Didot"/>
          <w:sz w:val="22"/>
          <w:szCs w:val="22"/>
        </w:rPr>
        <w:t>/,</w:t>
      </w:r>
      <w:proofErr w:type="gramEnd"/>
      <w:r w:rsidRPr="00907B3C">
        <w:rPr>
          <w:rFonts w:ascii="Didot" w:hAnsi="Didot" w:cs="Didot"/>
          <w:sz w:val="22"/>
          <w:szCs w:val="22"/>
        </w:rPr>
        <w:t xml:space="preserve"> accessed 02 September 2014).</w:t>
      </w:r>
    </w:p>
    <w:p w14:paraId="10E024AF" w14:textId="77777777" w:rsidR="00B552DA" w:rsidRPr="00907B3C" w:rsidRDefault="00B552DA" w:rsidP="008A7E29">
      <w:pPr>
        <w:jc w:val="both"/>
        <w:rPr>
          <w:rFonts w:ascii="Didot" w:hAnsi="Didot" w:cs="Didot"/>
          <w:sz w:val="22"/>
          <w:szCs w:val="22"/>
        </w:rPr>
      </w:pPr>
    </w:p>
    <w:p w14:paraId="01EC0314"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6. National Institute for Health and Care Excellence (Nice). </w:t>
      </w:r>
      <w:r w:rsidRPr="00907B3C">
        <w:rPr>
          <w:rFonts w:ascii="Didot" w:hAnsi="Didot" w:cs="Didot"/>
          <w:i/>
          <w:iCs/>
          <w:sz w:val="22"/>
          <w:szCs w:val="22"/>
        </w:rPr>
        <w:t>Domestic violence and abuse: how health services, social care and the organisations they work with can respond effectively</w:t>
      </w:r>
      <w:r w:rsidRPr="00907B3C">
        <w:rPr>
          <w:rFonts w:ascii="Didot" w:hAnsi="Didot" w:cs="Didot"/>
          <w:sz w:val="22"/>
          <w:szCs w:val="22"/>
        </w:rPr>
        <w:t>. 2014.</w:t>
      </w:r>
    </w:p>
    <w:p w14:paraId="563EBDE7"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(http://www.nice.org.uk/guidance/ph50, accessed 02 </w:t>
      </w:r>
      <w:proofErr w:type="gramStart"/>
      <w:r w:rsidRPr="00907B3C">
        <w:rPr>
          <w:rFonts w:ascii="Didot" w:hAnsi="Didot" w:cs="Didot"/>
          <w:sz w:val="22"/>
          <w:szCs w:val="22"/>
        </w:rPr>
        <w:t>September</w:t>
      </w:r>
      <w:proofErr w:type="gramEnd"/>
      <w:r w:rsidRPr="00907B3C">
        <w:rPr>
          <w:rFonts w:ascii="Didot" w:hAnsi="Didot" w:cs="Didot"/>
          <w:sz w:val="22"/>
          <w:szCs w:val="22"/>
        </w:rPr>
        <w:t xml:space="preserve"> 2014)</w:t>
      </w:r>
    </w:p>
    <w:p w14:paraId="40082422" w14:textId="77777777" w:rsidR="00B552DA" w:rsidRPr="00907B3C" w:rsidRDefault="00B552DA" w:rsidP="008A7E29">
      <w:pPr>
        <w:jc w:val="both"/>
        <w:rPr>
          <w:rFonts w:ascii="Didot" w:hAnsi="Didot" w:cs="Didot"/>
          <w:sz w:val="22"/>
          <w:szCs w:val="22"/>
        </w:rPr>
      </w:pPr>
    </w:p>
    <w:p w14:paraId="135EF556"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7. García-Moreno C et al. </w:t>
      </w:r>
      <w:r w:rsidRPr="00907B3C">
        <w:rPr>
          <w:rFonts w:ascii="Didot" w:hAnsi="Didot" w:cs="Didot"/>
          <w:i/>
          <w:iCs/>
          <w:sz w:val="22"/>
          <w:szCs w:val="22"/>
        </w:rPr>
        <w:t>WHO multi-country study on women’s health and domestic violence against women: initial results on prevalence, health outcomes and women’s responses</w:t>
      </w:r>
      <w:r w:rsidRPr="00907B3C">
        <w:rPr>
          <w:rFonts w:ascii="Didot" w:hAnsi="Didot" w:cs="Didot"/>
          <w:sz w:val="22"/>
          <w:szCs w:val="22"/>
        </w:rPr>
        <w:t>. Geneva,</w:t>
      </w:r>
    </w:p>
    <w:p w14:paraId="3CF69492"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World Health Organization, 2005.</w:t>
      </w:r>
    </w:p>
    <w:p w14:paraId="5AAE84F2" w14:textId="77777777" w:rsidR="00B552DA" w:rsidRPr="00907B3C" w:rsidRDefault="00B552DA" w:rsidP="008A7E29">
      <w:pPr>
        <w:jc w:val="both"/>
        <w:rPr>
          <w:rFonts w:ascii="Didot" w:hAnsi="Didot" w:cs="Didot"/>
          <w:sz w:val="22"/>
          <w:szCs w:val="22"/>
        </w:rPr>
      </w:pPr>
    </w:p>
    <w:p w14:paraId="742F24EF"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8. Heise LL. Violence Against Women: An Integrated, Ecological Framework. </w:t>
      </w:r>
      <w:r w:rsidRPr="00907B3C">
        <w:rPr>
          <w:rFonts w:ascii="Didot" w:hAnsi="Didot" w:cs="Didot"/>
          <w:i/>
          <w:iCs/>
          <w:sz w:val="22"/>
          <w:szCs w:val="22"/>
        </w:rPr>
        <w:t>Violence Against Women</w:t>
      </w:r>
      <w:r w:rsidRPr="00907B3C">
        <w:rPr>
          <w:rFonts w:ascii="Didot" w:hAnsi="Didot" w:cs="Didot"/>
          <w:sz w:val="22"/>
          <w:szCs w:val="22"/>
        </w:rPr>
        <w:t>, 1998, 4 (3): 262-290.</w:t>
      </w:r>
    </w:p>
    <w:p w14:paraId="4FA8C9AD" w14:textId="77777777" w:rsidR="00B552DA" w:rsidRPr="00907B3C" w:rsidRDefault="00B552DA" w:rsidP="008A7E29">
      <w:pPr>
        <w:jc w:val="both"/>
        <w:rPr>
          <w:rFonts w:ascii="Didot" w:hAnsi="Didot" w:cs="Didot"/>
          <w:sz w:val="22"/>
          <w:szCs w:val="22"/>
        </w:rPr>
      </w:pPr>
    </w:p>
    <w:p w14:paraId="194DDE92"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9. Krug EG et al., eds. </w:t>
      </w:r>
      <w:r w:rsidRPr="00907B3C">
        <w:rPr>
          <w:rFonts w:ascii="Didot" w:hAnsi="Didot" w:cs="Didot"/>
          <w:i/>
          <w:iCs/>
          <w:sz w:val="22"/>
          <w:szCs w:val="22"/>
        </w:rPr>
        <w:t>World report on violence and health</w:t>
      </w:r>
      <w:r w:rsidRPr="00907B3C">
        <w:rPr>
          <w:rFonts w:ascii="Didot" w:hAnsi="Didot" w:cs="Didot"/>
          <w:sz w:val="22"/>
          <w:szCs w:val="22"/>
        </w:rPr>
        <w:t>. Geneva, World Health Organization, 2002.</w:t>
      </w:r>
    </w:p>
    <w:p w14:paraId="5B605005" w14:textId="77777777" w:rsidR="00B552DA" w:rsidRPr="00907B3C" w:rsidRDefault="00B552DA" w:rsidP="008A7E29">
      <w:pPr>
        <w:jc w:val="both"/>
        <w:rPr>
          <w:rFonts w:ascii="Didot" w:hAnsi="Didot" w:cs="Didot"/>
          <w:sz w:val="22"/>
          <w:szCs w:val="22"/>
        </w:rPr>
      </w:pPr>
    </w:p>
    <w:p w14:paraId="18EAA683"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10. Abramsky T, Watts C, Garcia-Moreno C, Devries K, Kiss L et al. What factors are associated with recent intimate partner violence? Findings from the </w:t>
      </w:r>
      <w:proofErr w:type="gramStart"/>
      <w:r w:rsidRPr="00907B3C">
        <w:rPr>
          <w:rFonts w:ascii="Didot" w:hAnsi="Didot" w:cs="Didot"/>
          <w:sz w:val="22"/>
          <w:szCs w:val="22"/>
        </w:rPr>
        <w:t>WHO  multi</w:t>
      </w:r>
      <w:proofErr w:type="gramEnd"/>
      <w:r w:rsidRPr="00907B3C">
        <w:rPr>
          <w:rFonts w:ascii="Didot" w:hAnsi="Didot" w:cs="Didot"/>
          <w:sz w:val="22"/>
          <w:szCs w:val="22"/>
        </w:rPr>
        <w:t xml:space="preserve">-country study on women’s health and domestic violence. </w:t>
      </w:r>
      <w:r w:rsidRPr="00907B3C">
        <w:rPr>
          <w:rFonts w:ascii="Didot" w:hAnsi="Didot" w:cs="Didot"/>
          <w:i/>
          <w:iCs/>
          <w:sz w:val="22"/>
          <w:szCs w:val="22"/>
        </w:rPr>
        <w:t>BMC Public Health</w:t>
      </w:r>
      <w:r w:rsidRPr="00907B3C">
        <w:rPr>
          <w:rFonts w:ascii="Didot" w:hAnsi="Didot" w:cs="Didot"/>
          <w:sz w:val="22"/>
          <w:szCs w:val="22"/>
        </w:rPr>
        <w:t xml:space="preserve"> </w:t>
      </w:r>
      <w:proofErr w:type="gramStart"/>
      <w:r w:rsidRPr="00907B3C">
        <w:rPr>
          <w:rFonts w:ascii="Didot" w:hAnsi="Didot" w:cs="Didot"/>
          <w:sz w:val="22"/>
          <w:szCs w:val="22"/>
        </w:rPr>
        <w:t>2011,11</w:t>
      </w:r>
      <w:proofErr w:type="gramEnd"/>
      <w:r w:rsidRPr="00907B3C">
        <w:rPr>
          <w:rFonts w:ascii="Didot" w:hAnsi="Didot" w:cs="Didot"/>
          <w:sz w:val="22"/>
          <w:szCs w:val="22"/>
        </w:rPr>
        <w:t xml:space="preserve">:109. </w:t>
      </w:r>
    </w:p>
    <w:p w14:paraId="7D02A922" w14:textId="77777777" w:rsidR="00B552DA" w:rsidRPr="00907B3C" w:rsidRDefault="00B552DA" w:rsidP="008A7E29">
      <w:pPr>
        <w:jc w:val="both"/>
        <w:rPr>
          <w:rFonts w:ascii="Didot" w:hAnsi="Didot" w:cs="Didot"/>
          <w:sz w:val="22"/>
          <w:szCs w:val="22"/>
        </w:rPr>
      </w:pPr>
    </w:p>
    <w:p w14:paraId="6A1F6A5F"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11. Counts D, Brown J, and Campbell J, eds. </w:t>
      </w:r>
      <w:r w:rsidRPr="00907B3C">
        <w:rPr>
          <w:rFonts w:ascii="Didot" w:hAnsi="Didot" w:cs="Didot"/>
          <w:i/>
          <w:iCs/>
          <w:sz w:val="22"/>
          <w:szCs w:val="22"/>
        </w:rPr>
        <w:t>Sanctions and Sanctuary: Cultural Perspectives on the Beating of Wives</w:t>
      </w:r>
      <w:r w:rsidRPr="00907B3C">
        <w:rPr>
          <w:rFonts w:ascii="Didot" w:hAnsi="Didot" w:cs="Didot"/>
          <w:sz w:val="22"/>
          <w:szCs w:val="22"/>
        </w:rPr>
        <w:t>. Boulder, Westview Press. 1992</w:t>
      </w:r>
    </w:p>
    <w:p w14:paraId="5240A370" w14:textId="77777777" w:rsidR="00B552DA" w:rsidRPr="00907B3C" w:rsidRDefault="00B552DA" w:rsidP="008A7E29">
      <w:pPr>
        <w:jc w:val="both"/>
        <w:rPr>
          <w:rFonts w:ascii="Didot" w:hAnsi="Didot" w:cs="Didot"/>
          <w:sz w:val="22"/>
          <w:szCs w:val="22"/>
        </w:rPr>
      </w:pPr>
    </w:p>
    <w:p w14:paraId="14CAF33B"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12. Heise L and Kostadam </w:t>
      </w:r>
    </w:p>
    <w:p w14:paraId="48E1D55B" w14:textId="77777777" w:rsidR="00B552DA" w:rsidRPr="00907B3C" w:rsidRDefault="00B552DA" w:rsidP="008A7E29">
      <w:pPr>
        <w:jc w:val="both"/>
        <w:rPr>
          <w:rFonts w:ascii="Didot" w:hAnsi="Didot" w:cs="Didot"/>
          <w:sz w:val="22"/>
          <w:szCs w:val="22"/>
        </w:rPr>
      </w:pPr>
    </w:p>
    <w:p w14:paraId="1AC2E35F"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13</w:t>
      </w:r>
      <w:proofErr w:type="gramStart"/>
      <w:r w:rsidRPr="00907B3C">
        <w:rPr>
          <w:rFonts w:ascii="Didot" w:hAnsi="Didot" w:cs="Didot"/>
          <w:sz w:val="22"/>
          <w:szCs w:val="22"/>
        </w:rPr>
        <w:t>.Kim</w:t>
      </w:r>
      <w:proofErr w:type="gramEnd"/>
      <w:r w:rsidRPr="00907B3C">
        <w:rPr>
          <w:rFonts w:ascii="Didot" w:hAnsi="Didot" w:cs="Didot"/>
          <w:sz w:val="22"/>
          <w:szCs w:val="22"/>
        </w:rPr>
        <w:t xml:space="preserve"> J et al. Assessing the incremental effects of combining economic and health interventions: the IMAGE study in South Africa. </w:t>
      </w:r>
      <w:r w:rsidRPr="00907B3C">
        <w:rPr>
          <w:rFonts w:ascii="Didot" w:hAnsi="Didot" w:cs="Didot"/>
          <w:i/>
          <w:iCs/>
          <w:sz w:val="22"/>
          <w:szCs w:val="22"/>
        </w:rPr>
        <w:t>Bull World Health Organ</w:t>
      </w:r>
      <w:r w:rsidRPr="00907B3C">
        <w:rPr>
          <w:rFonts w:ascii="Didot" w:hAnsi="Didot" w:cs="Didot"/>
          <w:sz w:val="22"/>
          <w:szCs w:val="22"/>
        </w:rPr>
        <w:t>, 2009, 87(11): 824-32.</w:t>
      </w:r>
    </w:p>
    <w:p w14:paraId="419968C9" w14:textId="77777777" w:rsidR="00B552DA" w:rsidRPr="00907B3C" w:rsidRDefault="00B552DA" w:rsidP="008A7E29">
      <w:pPr>
        <w:jc w:val="both"/>
        <w:rPr>
          <w:rFonts w:ascii="Didot" w:hAnsi="Didot" w:cs="Didot"/>
          <w:sz w:val="22"/>
          <w:szCs w:val="22"/>
        </w:rPr>
      </w:pPr>
    </w:p>
    <w:p w14:paraId="3555C67B"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14. Rachel K. Jewkes et al., "Intimate Partner Violence, Relationship Power Inequity, and Incidence of HIV Infection in Young Women in South Africa: A Cohort Study</w:t>
      </w:r>
      <w:proofErr w:type="gramStart"/>
      <w:r w:rsidRPr="00907B3C">
        <w:rPr>
          <w:rFonts w:ascii="Didot" w:hAnsi="Didot" w:cs="Didot"/>
          <w:sz w:val="22"/>
          <w:szCs w:val="22"/>
        </w:rPr>
        <w:t xml:space="preserve">," </w:t>
      </w:r>
      <w:proofErr w:type="gramEnd"/>
      <w:r w:rsidRPr="00907B3C">
        <w:rPr>
          <w:rFonts w:ascii="Didot" w:hAnsi="Didot" w:cs="Didot"/>
          <w:i/>
          <w:iCs/>
          <w:sz w:val="22"/>
          <w:szCs w:val="22"/>
        </w:rPr>
        <w:t xml:space="preserve">The Lancet </w:t>
      </w:r>
      <w:r w:rsidRPr="00907B3C">
        <w:rPr>
          <w:rFonts w:ascii="Didot" w:hAnsi="Didot" w:cs="Didot"/>
          <w:sz w:val="22"/>
          <w:szCs w:val="22"/>
        </w:rPr>
        <w:t>376, no. 9734 (2010): 41-48.</w:t>
      </w:r>
    </w:p>
    <w:p w14:paraId="36AC1FE5" w14:textId="77777777" w:rsidR="00B552DA" w:rsidRPr="00907B3C" w:rsidRDefault="00B552DA" w:rsidP="008A7E29">
      <w:pPr>
        <w:jc w:val="both"/>
        <w:rPr>
          <w:rFonts w:ascii="Didot" w:hAnsi="Didot" w:cs="Didot"/>
          <w:sz w:val="22"/>
          <w:szCs w:val="22"/>
        </w:rPr>
      </w:pPr>
    </w:p>
    <w:p w14:paraId="04506B69"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15. Watts C, Michau L. The SASA Study: a cluster randomized controlled trial to assess the impact and cost-effectiveness of a violence and HIV prevention programme in Kampala, Uganda. Impact Evaluation: 2014/3ie Final Grantee Report. </w:t>
      </w:r>
      <w:hyperlink r:id="rId24" w:history="1">
        <w:r w:rsidRPr="00907B3C">
          <w:rPr>
            <w:rFonts w:ascii="Didot" w:hAnsi="Didot" w:cs="Didot"/>
            <w:color w:val="0000FF" w:themeColor="hyperlink"/>
            <w:sz w:val="22"/>
            <w:szCs w:val="22"/>
            <w:u w:val="single"/>
          </w:rPr>
          <w:t>http://www.3ieimpact.org/evidence/impact-evaluations/details/292/</w:t>
        </w:r>
      </w:hyperlink>
      <w:r w:rsidRPr="00907B3C">
        <w:rPr>
          <w:rFonts w:ascii="Didot" w:hAnsi="Didot" w:cs="Didot"/>
          <w:sz w:val="22"/>
          <w:szCs w:val="22"/>
        </w:rPr>
        <w:t xml:space="preserve">  accessed 1 </w:t>
      </w:r>
      <w:proofErr w:type="gramStart"/>
      <w:r w:rsidRPr="00907B3C">
        <w:rPr>
          <w:rFonts w:ascii="Didot" w:hAnsi="Didot" w:cs="Didot"/>
          <w:sz w:val="22"/>
          <w:szCs w:val="22"/>
        </w:rPr>
        <w:t>September</w:t>
      </w:r>
      <w:proofErr w:type="gramEnd"/>
      <w:r w:rsidRPr="00907B3C">
        <w:rPr>
          <w:rFonts w:ascii="Didot" w:hAnsi="Didot" w:cs="Didot"/>
          <w:sz w:val="22"/>
          <w:szCs w:val="22"/>
        </w:rPr>
        <w:t xml:space="preserve"> 2014</w:t>
      </w:r>
    </w:p>
    <w:p w14:paraId="1C355F1B" w14:textId="77777777" w:rsidR="00B552DA" w:rsidRPr="00907B3C" w:rsidRDefault="00B552DA" w:rsidP="008A7E29">
      <w:pPr>
        <w:jc w:val="both"/>
        <w:rPr>
          <w:rFonts w:ascii="Didot" w:hAnsi="Didot" w:cs="Didot"/>
          <w:sz w:val="22"/>
          <w:szCs w:val="22"/>
        </w:rPr>
      </w:pPr>
    </w:p>
    <w:p w14:paraId="468E5EFB"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16. USAID Evidence to action. Literature Review. Reaching young first-time parents for the healthy spacing of second and subsequent pregnancies. Washington, D.C. USAID, 2014.</w:t>
      </w:r>
    </w:p>
    <w:p w14:paraId="5EDEAAA8" w14:textId="77777777" w:rsidR="00B552DA" w:rsidRPr="00907B3C" w:rsidRDefault="00B552DA" w:rsidP="008A7E29">
      <w:pPr>
        <w:jc w:val="both"/>
        <w:rPr>
          <w:rFonts w:ascii="Didot" w:hAnsi="Didot" w:cs="Didot"/>
          <w:sz w:val="22"/>
          <w:szCs w:val="22"/>
        </w:rPr>
      </w:pPr>
    </w:p>
    <w:p w14:paraId="1F45E951"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17. Ramsay J et al. Advocacy interventions to reduce or eliminate violence and promote the physical and psychosocial well-being of women who experience intimate partner abuse. </w:t>
      </w:r>
      <w:r w:rsidRPr="00907B3C">
        <w:rPr>
          <w:rFonts w:ascii="Didot" w:hAnsi="Didot" w:cs="Didot"/>
          <w:i/>
          <w:iCs/>
          <w:sz w:val="22"/>
          <w:szCs w:val="22"/>
        </w:rPr>
        <w:t>Cochrane Database of Systematic Reviews</w:t>
      </w:r>
      <w:r w:rsidRPr="00907B3C">
        <w:rPr>
          <w:rFonts w:ascii="Didot" w:hAnsi="Didot" w:cs="Didot"/>
          <w:sz w:val="22"/>
          <w:szCs w:val="22"/>
        </w:rPr>
        <w:t xml:space="preserve">, 2009 (3): CD005043. </w:t>
      </w:r>
    </w:p>
    <w:p w14:paraId="58148CAF" w14:textId="77777777" w:rsidR="00B552DA" w:rsidRPr="00907B3C" w:rsidRDefault="00B552DA" w:rsidP="008A7E29">
      <w:pPr>
        <w:jc w:val="both"/>
        <w:rPr>
          <w:rFonts w:ascii="Didot" w:hAnsi="Didot" w:cs="Didot"/>
          <w:color w:val="343434"/>
          <w:sz w:val="22"/>
          <w:szCs w:val="22"/>
        </w:rPr>
      </w:pPr>
    </w:p>
    <w:p w14:paraId="2766019F" w14:textId="77777777" w:rsidR="00B552DA" w:rsidRPr="00907B3C" w:rsidRDefault="00B552DA" w:rsidP="008A7E29">
      <w:pPr>
        <w:jc w:val="both"/>
        <w:rPr>
          <w:rFonts w:ascii="Didot" w:hAnsi="Didot" w:cs="Didot"/>
          <w:sz w:val="22"/>
          <w:szCs w:val="22"/>
        </w:rPr>
      </w:pPr>
      <w:r w:rsidRPr="00907B3C">
        <w:rPr>
          <w:rFonts w:ascii="Didot" w:hAnsi="Didot" w:cs="Didot"/>
          <w:sz w:val="22"/>
          <w:szCs w:val="22"/>
        </w:rPr>
        <w:t xml:space="preserve">18. Tiwari A, Ha JWY, Yuen F. </w:t>
      </w:r>
      <w:r w:rsidRPr="00907B3C">
        <w:rPr>
          <w:rFonts w:ascii="Didot" w:hAnsi="Didot" w:cs="Didot"/>
          <w:i/>
          <w:iCs/>
          <w:sz w:val="22"/>
          <w:szCs w:val="22"/>
        </w:rPr>
        <w:t>Positive fathering: a programme to enhance the mental health and marital relationship of expectant couples</w:t>
      </w:r>
      <w:r w:rsidRPr="00907B3C">
        <w:rPr>
          <w:rFonts w:ascii="Didot" w:hAnsi="Didot" w:cs="Didot"/>
          <w:sz w:val="22"/>
          <w:szCs w:val="22"/>
        </w:rPr>
        <w:t>.</w:t>
      </w:r>
    </w:p>
    <w:p w14:paraId="0F5907C2" w14:textId="77777777" w:rsidR="00526673" w:rsidRPr="00907B3C" w:rsidRDefault="00B552DA" w:rsidP="008A7E29">
      <w:pPr>
        <w:jc w:val="both"/>
        <w:rPr>
          <w:rFonts w:ascii="Didot" w:hAnsi="Didot" w:cs="Didot"/>
          <w:sz w:val="22"/>
          <w:szCs w:val="22"/>
        </w:rPr>
      </w:pPr>
      <w:r w:rsidRPr="00907B3C">
        <w:rPr>
          <w:rFonts w:ascii="Didot" w:hAnsi="Didot" w:cs="Didot"/>
          <w:sz w:val="22"/>
          <w:szCs w:val="22"/>
        </w:rPr>
        <w:t xml:space="preserve">(http://www.nursing.hku.hk/cms/images/stories/Research/PositiveFathering_DisseminationReport.pdf, accessed 02 </w:t>
      </w:r>
      <w:proofErr w:type="gramStart"/>
      <w:r w:rsidRPr="00907B3C">
        <w:rPr>
          <w:rFonts w:ascii="Didot" w:hAnsi="Didot" w:cs="Didot"/>
          <w:sz w:val="22"/>
          <w:szCs w:val="22"/>
        </w:rPr>
        <w:t>September</w:t>
      </w:r>
      <w:proofErr w:type="gramEnd"/>
      <w:r w:rsidRPr="00907B3C">
        <w:rPr>
          <w:rFonts w:ascii="Didot" w:hAnsi="Didot" w:cs="Didot"/>
          <w:sz w:val="22"/>
          <w:szCs w:val="22"/>
        </w:rPr>
        <w:t xml:space="preserve"> 2014)</w:t>
      </w:r>
    </w:p>
    <w:p w14:paraId="658B4C88" w14:textId="77777777" w:rsidR="00160E26" w:rsidRPr="006916FC" w:rsidRDefault="00160E26" w:rsidP="008A7E29">
      <w:pPr>
        <w:jc w:val="both"/>
        <w:rPr>
          <w:rFonts w:ascii="Didot" w:hAnsi="Didot" w:cs="Didot"/>
        </w:rPr>
        <w:sectPr w:rsidR="00160E26" w:rsidRPr="006916FC" w:rsidSect="00160E26">
          <w:type w:val="continuous"/>
          <w:pgSz w:w="11900" w:h="16840"/>
          <w:pgMar w:top="1440" w:right="1800" w:bottom="1440" w:left="1800" w:header="708" w:footer="708" w:gutter="0"/>
          <w:cols w:space="708"/>
          <w:docGrid w:linePitch="360"/>
        </w:sectPr>
      </w:pPr>
    </w:p>
    <w:p w14:paraId="17773C96" w14:textId="375EB6B2" w:rsidR="00526673" w:rsidRPr="006916FC" w:rsidRDefault="00FB23A8" w:rsidP="008A7E29">
      <w:pPr>
        <w:pStyle w:val="Heading1"/>
        <w:rPr>
          <w:sz w:val="34"/>
          <w:szCs w:val="34"/>
        </w:rPr>
      </w:pPr>
      <w:bookmarkStart w:id="104" w:name="_Toc272639932"/>
      <w:r>
        <w:lastRenderedPageBreak/>
        <w:br w:type="column"/>
      </w:r>
      <w:r w:rsidR="00907B3C">
        <w:lastRenderedPageBreak/>
        <w:br w:type="column"/>
      </w:r>
      <w:bookmarkStart w:id="105" w:name="_Toc272645055"/>
      <w:r w:rsidR="00526673" w:rsidRPr="006916FC">
        <w:rPr>
          <w:sz w:val="34"/>
          <w:szCs w:val="34"/>
        </w:rPr>
        <w:lastRenderedPageBreak/>
        <w:t>Session 10</w:t>
      </w:r>
      <w:bookmarkEnd w:id="104"/>
      <w:bookmarkEnd w:id="105"/>
      <w:r w:rsidR="00526673" w:rsidRPr="006916FC">
        <w:rPr>
          <w:sz w:val="34"/>
          <w:szCs w:val="34"/>
        </w:rPr>
        <w:t xml:space="preserve"> </w:t>
      </w:r>
    </w:p>
    <w:p w14:paraId="545BF2C6" w14:textId="77777777" w:rsidR="00343493" w:rsidRPr="006916FC" w:rsidRDefault="00343493" w:rsidP="008A7E29">
      <w:pPr>
        <w:pStyle w:val="Heading1"/>
      </w:pPr>
      <w:bookmarkStart w:id="106" w:name="_Toc272639933"/>
      <w:bookmarkStart w:id="107" w:name="_Toc272645056"/>
      <w:r w:rsidRPr="006916FC">
        <w:t>Controlling Triggers to Violence</w:t>
      </w:r>
      <w:bookmarkEnd w:id="106"/>
      <w:bookmarkEnd w:id="107"/>
      <w:r w:rsidRPr="006916FC">
        <w:t> </w:t>
      </w:r>
    </w:p>
    <w:p w14:paraId="74DD8ED2" w14:textId="77777777" w:rsidR="00900655" w:rsidRPr="006916FC" w:rsidRDefault="00900655" w:rsidP="008A7E29">
      <w:pPr>
        <w:widowControl w:val="0"/>
        <w:autoSpaceDE w:val="0"/>
        <w:autoSpaceDN w:val="0"/>
        <w:adjustRightInd w:val="0"/>
        <w:spacing w:after="240"/>
        <w:jc w:val="both"/>
        <w:rPr>
          <w:rFonts w:ascii="Didot" w:hAnsi="Didot" w:cs="Didot"/>
          <w:b/>
          <w:bCs/>
          <w:color w:val="121212"/>
          <w:lang w:val="en-US"/>
        </w:rPr>
      </w:pPr>
    </w:p>
    <w:p w14:paraId="667D7D2E" w14:textId="77777777" w:rsidR="00343493" w:rsidRDefault="00343493" w:rsidP="008A7E29">
      <w:pPr>
        <w:widowControl w:val="0"/>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Richard Matzopoulos - Medical Research Council of South Africa, Specialist Scientist at the Burden of Disease Research Unit; University of Cape Town, Honorary Research Associate at the School of Public Health and Family Medicine </w:t>
      </w:r>
    </w:p>
    <w:p w14:paraId="577F4F4B" w14:textId="77777777" w:rsidR="00907B3C" w:rsidRPr="006916FC" w:rsidRDefault="00907B3C" w:rsidP="008A7E29">
      <w:pPr>
        <w:widowControl w:val="0"/>
        <w:autoSpaceDE w:val="0"/>
        <w:autoSpaceDN w:val="0"/>
        <w:adjustRightInd w:val="0"/>
        <w:spacing w:after="240"/>
        <w:jc w:val="both"/>
        <w:rPr>
          <w:rFonts w:ascii="Didot" w:hAnsi="Didot" w:cs="Didot"/>
          <w:b/>
          <w:bCs/>
          <w:color w:val="121212"/>
          <w:lang w:val="en-US"/>
        </w:rPr>
      </w:pPr>
    </w:p>
    <w:p w14:paraId="77383316" w14:textId="77777777" w:rsidR="00216034" w:rsidRPr="006916FC" w:rsidRDefault="00216034"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p>
    <w:p w14:paraId="420CC9FA" w14:textId="77777777" w:rsidR="00343493" w:rsidRPr="00907B3C" w:rsidRDefault="00343493"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r w:rsidRPr="00907B3C">
        <w:rPr>
          <w:rFonts w:ascii="Didot" w:hAnsi="Didot" w:cs="Didot"/>
          <w:color w:val="121212"/>
          <w:sz w:val="22"/>
          <w:szCs w:val="22"/>
          <w:lang w:val="en-US"/>
        </w:rPr>
        <w:t>An important element of violence reduction is the control over situational mechanisms associated with violence. This includes more effective control over drugs, alcohol, and access to firearms, but also the application of crime science to improve the surveillance of violence hotspots, giving victims more effective access to support, and increasing the chances that perpetrators are caught. In this session speakers will address how security-enhancing technologies and control over firearms, alcohol and drugs can contribute to the decline in violence.</w:t>
      </w:r>
    </w:p>
    <w:p w14:paraId="7FAD66BD" w14:textId="77777777" w:rsidR="00216034" w:rsidRPr="006916FC" w:rsidRDefault="00216034"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p>
    <w:p w14:paraId="3A4B6895" w14:textId="77777777" w:rsidR="000623D9" w:rsidRPr="006916FC" w:rsidRDefault="000623D9" w:rsidP="008A7E29">
      <w:pPr>
        <w:widowControl w:val="0"/>
        <w:autoSpaceDE w:val="0"/>
        <w:autoSpaceDN w:val="0"/>
        <w:adjustRightInd w:val="0"/>
        <w:spacing w:after="200"/>
        <w:jc w:val="both"/>
        <w:rPr>
          <w:rFonts w:ascii="Didot" w:hAnsi="Didot" w:cs="Didot"/>
          <w:color w:val="121212"/>
          <w:sz w:val="22"/>
          <w:szCs w:val="22"/>
          <w:lang w:val="en-US"/>
        </w:rPr>
      </w:pPr>
    </w:p>
    <w:p w14:paraId="0BF9C46B" w14:textId="2D434CAE" w:rsidR="00D84C5F" w:rsidRPr="00B34EBC" w:rsidRDefault="00343493" w:rsidP="00B34EBC">
      <w:pPr>
        <w:pStyle w:val="Heading2"/>
        <w:jc w:val="both"/>
        <w:rPr>
          <w:rFonts w:ascii="Didot" w:hAnsi="Didot" w:cs="Didot"/>
          <w:color w:val="auto"/>
          <w:sz w:val="34"/>
          <w:szCs w:val="34"/>
        </w:rPr>
      </w:pPr>
      <w:bookmarkStart w:id="108" w:name="_Toc272639934"/>
      <w:bookmarkStart w:id="109" w:name="_Toc272645057"/>
      <w:r w:rsidRPr="006916FC">
        <w:rPr>
          <w:rFonts w:ascii="Didot" w:hAnsi="Didot" w:cs="Didot"/>
          <w:color w:val="auto"/>
          <w:sz w:val="34"/>
          <w:szCs w:val="34"/>
        </w:rPr>
        <w:t>Graham Farrell</w:t>
      </w:r>
      <w:bookmarkEnd w:id="108"/>
      <w:bookmarkEnd w:id="109"/>
      <w:r w:rsidRPr="006916FC">
        <w:rPr>
          <w:rFonts w:ascii="Didot" w:hAnsi="Didot" w:cs="Didot"/>
          <w:color w:val="auto"/>
          <w:sz w:val="34"/>
          <w:szCs w:val="34"/>
        </w:rPr>
        <w:t> </w:t>
      </w:r>
    </w:p>
    <w:p w14:paraId="09E16936" w14:textId="77777777" w:rsidR="00B34EBC" w:rsidRDefault="00B34EBC" w:rsidP="008A7E29">
      <w:pPr>
        <w:widowControl w:val="0"/>
        <w:autoSpaceDE w:val="0"/>
        <w:autoSpaceDN w:val="0"/>
        <w:adjustRightInd w:val="0"/>
        <w:spacing w:after="240"/>
        <w:jc w:val="both"/>
        <w:rPr>
          <w:rFonts w:ascii="Didot" w:hAnsi="Didot" w:cs="Didot"/>
          <w:b/>
          <w:lang w:val="en-US"/>
        </w:rPr>
      </w:pPr>
    </w:p>
    <w:p w14:paraId="444D6EBC" w14:textId="6A5D9939" w:rsidR="00391334" w:rsidRPr="00BB521F" w:rsidRDefault="00391334" w:rsidP="008A7E29">
      <w:pPr>
        <w:widowControl w:val="0"/>
        <w:autoSpaceDE w:val="0"/>
        <w:autoSpaceDN w:val="0"/>
        <w:adjustRightInd w:val="0"/>
        <w:spacing w:after="240"/>
        <w:jc w:val="both"/>
        <w:rPr>
          <w:rFonts w:ascii="Didot" w:hAnsi="Didot" w:cs="Didot"/>
          <w:b/>
          <w:lang w:val="en-US"/>
        </w:rPr>
      </w:pPr>
      <w:r w:rsidRPr="00BB521F">
        <w:rPr>
          <w:rFonts w:ascii="Didot" w:hAnsi="Didot" w:cs="Didot"/>
          <w:b/>
          <w:lang w:val="en-US"/>
        </w:rPr>
        <w:t>Abstract</w:t>
      </w:r>
    </w:p>
    <w:p w14:paraId="23CC1DBD" w14:textId="6D7B5DF0" w:rsidR="00391334" w:rsidRPr="00BB521F" w:rsidRDefault="00391334" w:rsidP="008A7E29">
      <w:pPr>
        <w:widowControl w:val="0"/>
        <w:pBdr>
          <w:bottom w:val="single" w:sz="6" w:space="1" w:color="auto"/>
        </w:pBdr>
        <w:autoSpaceDE w:val="0"/>
        <w:autoSpaceDN w:val="0"/>
        <w:adjustRightInd w:val="0"/>
        <w:spacing w:after="200"/>
        <w:jc w:val="both"/>
        <w:rPr>
          <w:rFonts w:ascii="Didot" w:hAnsi="Didot" w:cs="Didot"/>
          <w:b/>
          <w:color w:val="121212"/>
          <w:lang w:val="en-CA"/>
        </w:rPr>
      </w:pPr>
      <w:r w:rsidRPr="00BB521F">
        <w:rPr>
          <w:rFonts w:ascii="Didot" w:hAnsi="Didot" w:cs="Didot"/>
          <w:b/>
          <w:color w:val="121212"/>
          <w:lang w:val="en-CA"/>
        </w:rPr>
        <w:t>Lessons for Global Violence Reduction from Recent Crime Declines: Security, Problem-Solving and Situational Prevention</w:t>
      </w:r>
    </w:p>
    <w:p w14:paraId="699DEB6D" w14:textId="0285A0FD" w:rsidR="00391334"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Most advanced countries have experienced reductions of 50 percent of more in many common crimes over the last two decades. Recent research suggests that </w:t>
      </w:r>
      <w:proofErr w:type="gramStart"/>
      <w:r w:rsidRPr="00907B3C">
        <w:rPr>
          <w:rFonts w:ascii="Didot" w:hAnsi="Didot" w:cs="Didot"/>
          <w:color w:val="121212"/>
          <w:sz w:val="22"/>
          <w:szCs w:val="22"/>
          <w:lang w:val="en-CA"/>
        </w:rPr>
        <w:t>reduced crime opportunities was</w:t>
      </w:r>
      <w:proofErr w:type="gramEnd"/>
      <w:r w:rsidRPr="00907B3C">
        <w:rPr>
          <w:rFonts w:ascii="Didot" w:hAnsi="Didot" w:cs="Didot"/>
          <w:color w:val="121212"/>
          <w:sz w:val="22"/>
          <w:szCs w:val="22"/>
          <w:lang w:val="en-CA"/>
        </w:rPr>
        <w:t xml:space="preserve"> a key cause. There is strong evidence that improved vehicle security reduced car crime, mounting evidence that improved household security reduced household burglary. Most crime is property crime, and it dominates criminal careers, so its reduction may have triggered knock-on reductions in violence. This study explores the implications of these findings for other countries and crime-types. </w:t>
      </w:r>
    </w:p>
    <w:p w14:paraId="2B711BC6" w14:textId="77777777" w:rsidR="00B34EBC" w:rsidRPr="00907B3C" w:rsidRDefault="00B34EBC"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
    <w:p w14:paraId="3E143926" w14:textId="77777777" w:rsidR="004B11F6" w:rsidRPr="006916FC" w:rsidRDefault="004B11F6"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
    <w:p w14:paraId="264B6AF5" w14:textId="2704B3D2" w:rsidR="00391334" w:rsidRPr="00BB521F" w:rsidRDefault="00391334" w:rsidP="008A7E29">
      <w:pPr>
        <w:widowControl w:val="0"/>
        <w:autoSpaceDE w:val="0"/>
        <w:autoSpaceDN w:val="0"/>
        <w:adjustRightInd w:val="0"/>
        <w:spacing w:after="240"/>
        <w:jc w:val="both"/>
        <w:rPr>
          <w:rFonts w:ascii="Didot" w:hAnsi="Didot" w:cs="Didot"/>
          <w:b/>
          <w:lang w:val="en-US"/>
        </w:rPr>
      </w:pPr>
      <w:r w:rsidRPr="00BB521F">
        <w:rPr>
          <w:rFonts w:ascii="Didot" w:hAnsi="Didot" w:cs="Didot"/>
          <w:b/>
          <w:lang w:val="en-US"/>
        </w:rPr>
        <w:t>Summary</w:t>
      </w:r>
    </w:p>
    <w:p w14:paraId="4423ABB6" w14:textId="2EEFE5BE" w:rsidR="00391334" w:rsidRPr="00BB521F" w:rsidRDefault="00391334" w:rsidP="008A7E29">
      <w:pPr>
        <w:widowControl w:val="0"/>
        <w:pBdr>
          <w:bottom w:val="single" w:sz="6" w:space="1" w:color="auto"/>
        </w:pBdr>
        <w:autoSpaceDE w:val="0"/>
        <w:autoSpaceDN w:val="0"/>
        <w:adjustRightInd w:val="0"/>
        <w:spacing w:after="200"/>
        <w:jc w:val="both"/>
        <w:rPr>
          <w:rFonts w:ascii="Didot" w:hAnsi="Didot" w:cs="Didot"/>
          <w:b/>
          <w:color w:val="121212"/>
          <w:lang w:val="en-CA"/>
        </w:rPr>
      </w:pPr>
      <w:r w:rsidRPr="00BB521F">
        <w:rPr>
          <w:rFonts w:ascii="Didot" w:hAnsi="Didot" w:cs="Didot"/>
          <w:b/>
          <w:color w:val="121212"/>
          <w:lang w:val="en-CA"/>
        </w:rPr>
        <w:t>Lessons for Global Violence Reduction from Recent Crime Declines: Security, Problem-Solving and Situational Prevention</w:t>
      </w:r>
    </w:p>
    <w:p w14:paraId="277F37C4"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Introduction</w:t>
      </w:r>
    </w:p>
    <w:p w14:paraId="568B1B17"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It is here taken as given that the pursuit of democracy and the rule of law, as well as improved education, health, social and living standards generally, are laudable aims for society and social policy respectively. They remain so, and we would pursue them, regardless of the crime rate. Moreover, the enormous increases in crime in the second half of the twentieth century went hand in hand with tremendous socio-economic development in industrialised countries, to the extent that we now know such development often increases crime. It does so by changing the opportunity structure, that is, by increasing crime opportunities and the likelihood that they are taken. There are more consumer goods worth stealing, with changes to our lifestyles, routines and movement that facilitate and precipitate the taking of more crime opportunities. The classic example is that as more women entered the workforce there was less guardianship of households and an increase in daytime burglary. This seemingly simple view of things, known as the routine activity theory of crime, was arguably the most important criminological insight of the twentieth century.  </w:t>
      </w:r>
    </w:p>
    <w:p w14:paraId="319B26BC"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However, the last quarter century has seen crime peak then decline, sometimes rapidly, in many industrialised countries. Crime drops of 50 percent or more in many common crimes have been experienced. Seen from that perspective, the aim of this conference of generating a 50 percent reduction in global violence over the next 30 years does not seen overly ambitious: it has been done in the recent past in some countries, so perhaps it can be done elsewhere. The aim of the present study is to begin the process of teasing out the lessons of the crime drop and its implications for other countries and crime types. I thank Prof Eisner for this invitation to, as he put it, get outside of my comfort zone, and extrapolate from the evidence. </w:t>
      </w:r>
    </w:p>
    <w:p w14:paraId="2829CAEC"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
    <w:p w14:paraId="665A844B"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Crime Drop Research: Phase I and Phase II</w:t>
      </w:r>
    </w:p>
    <w:p w14:paraId="399212CE"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Violence declined by more than 50 percent in the United Kingdom over the last two decades, as well as in much of the rest of Europe and north America. The crime drop was first heralded in the United States where, from around 1991, violence plummeted rapidly and unexpectedly. What is referred to here as ‘</w:t>
      </w:r>
      <w:proofErr w:type="gramStart"/>
      <w:r w:rsidRPr="00907B3C">
        <w:rPr>
          <w:rFonts w:ascii="Didot" w:hAnsi="Didot" w:cs="Didot"/>
          <w:color w:val="121212"/>
          <w:sz w:val="22"/>
          <w:szCs w:val="22"/>
          <w:lang w:val="en-CA"/>
        </w:rPr>
        <w:t>Phase</w:t>
      </w:r>
      <w:proofErr w:type="gramEnd"/>
      <w:r w:rsidRPr="00907B3C">
        <w:rPr>
          <w:rFonts w:ascii="Didot" w:hAnsi="Didot" w:cs="Didot"/>
          <w:color w:val="121212"/>
          <w:sz w:val="22"/>
          <w:szCs w:val="22"/>
          <w:lang w:val="en-CA"/>
        </w:rPr>
        <w:t xml:space="preserve"> I’ crime drop research had, with some honorable exceptions two main frames of reference: violence and the United States. Blumstein and Wallman’s (2000) landmark book summarised and framed much of this research agenda, which continues in some forms to this day. </w:t>
      </w:r>
    </w:p>
    <w:p w14:paraId="33E82F58"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What is here referred to as Phase II of crime drop research entails three </w:t>
      </w:r>
      <w:proofErr w:type="gramStart"/>
      <w:r w:rsidRPr="00907B3C">
        <w:rPr>
          <w:rFonts w:ascii="Didot" w:hAnsi="Didot" w:cs="Didot"/>
          <w:color w:val="121212"/>
          <w:sz w:val="22"/>
          <w:szCs w:val="22"/>
          <w:lang w:val="en-CA"/>
        </w:rPr>
        <w:lastRenderedPageBreak/>
        <w:t>developments.</w:t>
      </w:r>
      <w:proofErr w:type="gramEnd"/>
      <w:r w:rsidRPr="00907B3C">
        <w:rPr>
          <w:rFonts w:ascii="Didot" w:hAnsi="Didot" w:cs="Didot"/>
          <w:color w:val="121212"/>
          <w:sz w:val="22"/>
          <w:szCs w:val="22"/>
          <w:lang w:val="en-CA"/>
        </w:rPr>
        <w:t xml:space="preserve"> First, the importance of property crime is now evident. In the United States, car theft declined just before, and with a trajectory and subsequent trend almost identical to that of violence including homicide. In the UK, a steep decline in a broader set of property crimes slightly preceded and was tracked by the drop in violence. Second, it is now recognised that the crime drop occurred in many different countries. This fact tends to rule out a range of explanations for the crime drop that focused solely on US violence, including imprisonment, abortion, gun control, the death penalty, etc., that now appear somewhat parochial. Third, the theoretical framework has evolved and, in particular, greater attention is now paid to what is referred to here as crime opportunity theory, which is taken to include the rational choice and routine activity perspectives alongside problem-solving approaches and situational crime prevention. These three developments underpinned the research in which I have been fortunate to be involved for much of the last decade with Nick Tilley and Andromachi Tseloni, and we thank the UK’s Economic and Social Research Council for funding what we hope is beginning to look like a programme of research on the topic. </w:t>
      </w:r>
    </w:p>
    <w:p w14:paraId="6D6D19E2"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The Security Hypothesis</w:t>
      </w:r>
    </w:p>
    <w:p w14:paraId="0D86E7EB"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The security hypothesis proposes that security that has induced much of the crime drop. There is now rather compelling evidence that the </w:t>
      </w:r>
      <w:proofErr w:type="gramStart"/>
      <w:r w:rsidRPr="00907B3C">
        <w:rPr>
          <w:rFonts w:ascii="Didot" w:hAnsi="Didot" w:cs="Didot"/>
          <w:color w:val="121212"/>
          <w:sz w:val="22"/>
          <w:szCs w:val="22"/>
          <w:lang w:val="en-CA"/>
        </w:rPr>
        <w:t>decline in motor vehicle thefts was induced by the spread of more and better quality vehicle security, particularly electronic immobilisers and central deadlocking systems</w:t>
      </w:r>
      <w:proofErr w:type="gramEnd"/>
      <w:r w:rsidRPr="00907B3C">
        <w:rPr>
          <w:rFonts w:ascii="Didot" w:hAnsi="Didot" w:cs="Didot"/>
          <w:color w:val="121212"/>
          <w:sz w:val="22"/>
          <w:szCs w:val="22"/>
          <w:lang w:val="en-CA"/>
        </w:rPr>
        <w:t xml:space="preserve">. Independent research relating to Australia, England and Wales, Germany, the Netherlands, and the United States indicates that security caused car theft to fall by fifty percent, and sometimes three quarters or more. This conclusion is based on multiple distinct patterns, or data signatures, occurring while crime fell. The average age of stolen vehicles increased because new vehicles had better security, the means of entry to vehicles changed as lock-forcing became more difficult, and theft for joyriding declined earlier and faster than professional or organised theft, as would be expected if less experienced and opportunistic adolescent offenders were kicked out of the market by improved security. Australia afforded a natural experiment where car theft declined earlier in the one state where mandatory immobilisers were introduced on new vehicles earlier than elsewhere. There is more evidence than this but it gives a flavour of the research. </w:t>
      </w:r>
    </w:p>
    <w:p w14:paraId="0B7BDCBE"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There is mounting evidence that security has played a key role in relation to household burglary, and it can reasonably be anticipated that commercial burglary fell for similar reasons. Here, it appears to be not just an increase in the prevalence of security, </w:t>
      </w:r>
      <w:proofErr w:type="gramStart"/>
      <w:r w:rsidRPr="00907B3C">
        <w:rPr>
          <w:rFonts w:ascii="Didot" w:hAnsi="Didot" w:cs="Didot"/>
          <w:color w:val="121212"/>
          <w:sz w:val="22"/>
          <w:szCs w:val="22"/>
          <w:lang w:val="en-CA"/>
        </w:rPr>
        <w:t>but</w:t>
      </w:r>
      <w:proofErr w:type="gramEnd"/>
      <w:r w:rsidRPr="00907B3C">
        <w:rPr>
          <w:rFonts w:ascii="Didot" w:hAnsi="Didot" w:cs="Didot"/>
          <w:color w:val="121212"/>
          <w:sz w:val="22"/>
          <w:szCs w:val="22"/>
          <w:lang w:val="en-CA"/>
        </w:rPr>
        <w:t xml:space="preserve"> improvements in the quality of security and its settings, that were responsible. Again there is triangulation of evidence from multiple sources and indicators. Burglaries which involved the breaking of security (such as door and window locks) fell before and much faster than those that did not (such as those when the door or window was open or unlocked, or where there was deception)</w:t>
      </w:r>
      <w:proofErr w:type="gramStart"/>
      <w:r w:rsidRPr="00907B3C">
        <w:rPr>
          <w:rFonts w:ascii="Didot" w:hAnsi="Didot" w:cs="Didot"/>
          <w:color w:val="121212"/>
          <w:sz w:val="22"/>
          <w:szCs w:val="22"/>
          <w:lang w:val="en-CA"/>
        </w:rPr>
        <w:t>.The</w:t>
      </w:r>
      <w:proofErr w:type="gramEnd"/>
      <w:r w:rsidRPr="00907B3C">
        <w:rPr>
          <w:rFonts w:ascii="Didot" w:hAnsi="Didot" w:cs="Didot"/>
          <w:color w:val="121212"/>
          <w:sz w:val="22"/>
          <w:szCs w:val="22"/>
          <w:lang w:val="en-CA"/>
        </w:rPr>
        <w:t xml:space="preserve"> spread of double-glazing in the UK brought stronger frames for doors and windows, double-paned and strengthened glass, and integrated stronger locks that were activated as part of normal usage. In the US, one hypothesis is that the spread of central air conditioning (rather than add-on air conditioning units) was the vehicle by which household security was, somewhat inadvertently, improved. The America Housing Survey shows central air increased gradually from 10.5 percent of all US households in 1970 (burglary began to fall in the 1970s in the </w:t>
      </w:r>
      <w:r w:rsidRPr="00907B3C">
        <w:rPr>
          <w:rFonts w:ascii="Didot" w:hAnsi="Didot" w:cs="Didot"/>
          <w:color w:val="121212"/>
          <w:sz w:val="22"/>
          <w:szCs w:val="22"/>
          <w:lang w:val="en-CA"/>
        </w:rPr>
        <w:lastRenderedPageBreak/>
        <w:t xml:space="preserve">US) to 72 percent in 2010, the period over which the burglary rate fell steadily and by over half. </w:t>
      </w:r>
    </w:p>
    <w:p w14:paraId="29D02B9C"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There remains much security hypothesis research to be done. Should reliable data be available, it seems reasonable to anticipate we will find that, at minimum, improved security was critical in reducing robberies at banks and stores, and that improved design of stores, store layout and product management is largely responsible for major declines in shoplifting. </w:t>
      </w:r>
    </w:p>
    <w:p w14:paraId="3225B732"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Elegant Security</w:t>
      </w:r>
    </w:p>
    <w:p w14:paraId="6BF1C37E"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The best security is elegant. Vehicle security used to be inelegant: clunky add-on crooks-locks or clubs for the steering wheel, and poor-quality door lock individually pushed down. Nowadays a multi-layered security system is activated remotely by a single button push or even by just walking away from the vehicle. Modern household doors and windows are predominantly self-locking when closed, and typically combined with secure frames and double-paned strengthened glass: in contrast with windows with flimsy frames, no locks and easily broken windows and, perhaps, an awkwardly added screw-it-on-yourself-please-oh-I’ve-lost-it-or-can’t-be-bothered lock.</w:t>
      </w:r>
    </w:p>
    <w:p w14:paraId="34E599CE"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As a society we are just beginning to scratch the surface of the potential for developing elegant solutions wherein security is the default and where liberty and welfare are promoted. When security is elegant, naysayers’ fear of fortress and big brother society look very dated. We identify the characteristics of elegant security as DAPPER: the </w:t>
      </w:r>
      <w:r w:rsidRPr="00907B3C">
        <w:rPr>
          <w:rFonts w:ascii="Didot" w:hAnsi="Didot" w:cs="Didot"/>
          <w:b/>
          <w:color w:val="121212"/>
          <w:sz w:val="22"/>
          <w:szCs w:val="22"/>
          <w:lang w:val="en-CA"/>
        </w:rPr>
        <w:t>D</w:t>
      </w:r>
      <w:r w:rsidRPr="00907B3C">
        <w:rPr>
          <w:rFonts w:ascii="Didot" w:hAnsi="Didot" w:cs="Didot"/>
          <w:color w:val="121212"/>
          <w:sz w:val="22"/>
          <w:szCs w:val="22"/>
          <w:lang w:val="en-CA"/>
        </w:rPr>
        <w:t xml:space="preserve">efault is secure, they are </w:t>
      </w:r>
      <w:r w:rsidRPr="00907B3C">
        <w:rPr>
          <w:rFonts w:ascii="Didot" w:hAnsi="Didot" w:cs="Didot"/>
          <w:b/>
          <w:color w:val="121212"/>
          <w:sz w:val="22"/>
          <w:szCs w:val="22"/>
          <w:lang w:val="en-CA"/>
        </w:rPr>
        <w:t>A</w:t>
      </w:r>
      <w:r w:rsidRPr="00907B3C">
        <w:rPr>
          <w:rFonts w:ascii="Didot" w:hAnsi="Didot" w:cs="Didot"/>
          <w:color w:val="121212"/>
          <w:sz w:val="22"/>
          <w:szCs w:val="22"/>
          <w:lang w:val="en-CA"/>
        </w:rPr>
        <w:t xml:space="preserve">esthetically neutral or pleasing, have a </w:t>
      </w:r>
      <w:r w:rsidRPr="00907B3C">
        <w:rPr>
          <w:rFonts w:ascii="Didot" w:hAnsi="Didot" w:cs="Didot"/>
          <w:b/>
          <w:color w:val="121212"/>
          <w:sz w:val="22"/>
          <w:szCs w:val="22"/>
          <w:lang w:val="en-CA"/>
        </w:rPr>
        <w:t>P</w:t>
      </w:r>
      <w:r w:rsidRPr="00907B3C">
        <w:rPr>
          <w:rFonts w:ascii="Didot" w:hAnsi="Didot" w:cs="Didot"/>
          <w:color w:val="121212"/>
          <w:sz w:val="22"/>
          <w:szCs w:val="22"/>
          <w:lang w:val="en-CA"/>
        </w:rPr>
        <w:t xml:space="preserve">owerful preventive mechanism, are </w:t>
      </w:r>
      <w:r w:rsidRPr="00907B3C">
        <w:rPr>
          <w:rFonts w:ascii="Didot" w:hAnsi="Didot" w:cs="Didot"/>
          <w:b/>
          <w:color w:val="121212"/>
          <w:sz w:val="22"/>
          <w:szCs w:val="22"/>
          <w:lang w:val="en-CA"/>
        </w:rPr>
        <w:t>P</w:t>
      </w:r>
      <w:r w:rsidRPr="00907B3C">
        <w:rPr>
          <w:rFonts w:ascii="Didot" w:hAnsi="Didot" w:cs="Didot"/>
          <w:color w:val="121212"/>
          <w:sz w:val="22"/>
          <w:szCs w:val="22"/>
          <w:lang w:val="en-CA"/>
        </w:rPr>
        <w:t xml:space="preserve">alatable to everyone except offenders, </w:t>
      </w:r>
      <w:r w:rsidRPr="00907B3C">
        <w:rPr>
          <w:rFonts w:ascii="Didot" w:hAnsi="Didot" w:cs="Didot"/>
          <w:b/>
          <w:color w:val="121212"/>
          <w:sz w:val="22"/>
          <w:szCs w:val="22"/>
          <w:lang w:val="en-CA"/>
        </w:rPr>
        <w:t>E</w:t>
      </w:r>
      <w:r w:rsidRPr="00907B3C">
        <w:rPr>
          <w:rFonts w:ascii="Didot" w:hAnsi="Didot" w:cs="Didot"/>
          <w:color w:val="121212"/>
          <w:sz w:val="22"/>
          <w:szCs w:val="22"/>
          <w:lang w:val="en-CA"/>
        </w:rPr>
        <w:t xml:space="preserve">ffortless to activate, and </w:t>
      </w:r>
      <w:r w:rsidRPr="00907B3C">
        <w:rPr>
          <w:rFonts w:ascii="Didot" w:hAnsi="Didot" w:cs="Didot"/>
          <w:b/>
          <w:color w:val="121212"/>
          <w:sz w:val="22"/>
          <w:szCs w:val="22"/>
          <w:lang w:val="en-CA"/>
        </w:rPr>
        <w:t>R</w:t>
      </w:r>
      <w:r w:rsidRPr="00907B3C">
        <w:rPr>
          <w:rFonts w:ascii="Didot" w:hAnsi="Didot" w:cs="Didot"/>
          <w:color w:val="121212"/>
          <w:sz w:val="22"/>
          <w:szCs w:val="22"/>
          <w:lang w:val="en-CA"/>
        </w:rPr>
        <w:t xml:space="preserve">ewarding in cost-benefit terms. Many evolving smart technologies have great potential to provide dapper security solutions at home, at work and leisure facilities, and on transportation routes. This notion of elegant security is introduced here because to some extent it encapsulates a philosophy. </w:t>
      </w:r>
    </w:p>
    <w:p w14:paraId="674A565D"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The Keystone Hypothesis: How Security reduces Violence</w:t>
      </w:r>
    </w:p>
    <w:p w14:paraId="29E02885"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Let us skip to the assumption that security caused most of the drop in property crime. What, then, caused the drop in violence? First off, some violence is acquisitive crime that is addressed by security: robberies of various sorts, particularly at banks and stores, fall into this category. Most other violence is rare, relatively speaking. </w:t>
      </w:r>
      <w:proofErr w:type="gramStart"/>
      <w:r w:rsidRPr="00907B3C">
        <w:rPr>
          <w:rFonts w:ascii="Didot" w:hAnsi="Didot" w:cs="Didot"/>
          <w:color w:val="121212"/>
          <w:sz w:val="22"/>
          <w:szCs w:val="22"/>
          <w:lang w:val="en-CA"/>
        </w:rPr>
        <w:t>It is committed by offenders who commit mostly property crimes</w:t>
      </w:r>
      <w:proofErr w:type="gramEnd"/>
      <w:r w:rsidRPr="00907B3C">
        <w:rPr>
          <w:rFonts w:ascii="Didot" w:hAnsi="Didot" w:cs="Didot"/>
          <w:color w:val="121212"/>
          <w:sz w:val="22"/>
          <w:szCs w:val="22"/>
          <w:lang w:val="en-CA"/>
        </w:rPr>
        <w:t xml:space="preserve">. Repeat victimization research shows it is disproportionately committed against victims who also experienced property crime. Some instrumental violence is committed as part of the commission of property offences. Other violence is underpinned, facilitated or provoked by property crime. Moreover, the onset of criminal careers often begins with easy-pickings property crime. Imagine these connections between property and violent crime being disrupted, and the possibility emerges that major reductions in the numerically dominant property crime triggered the reductions in violence. </w:t>
      </w:r>
    </w:p>
    <w:p w14:paraId="177F3E07"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Consider car theft. Stolen cars are used for many other types of crime. They are used to facilitate suburban burglary, as getaway cars for various crimes, for drive-by shootings, for transportation to other crime sites. Other crimes take place in vehicles including drug dealing and prostitution. Hence stolen cars facilitate drug </w:t>
      </w:r>
      <w:r w:rsidRPr="00907B3C">
        <w:rPr>
          <w:rFonts w:ascii="Didot" w:hAnsi="Didot" w:cs="Didot"/>
          <w:color w:val="121212"/>
          <w:sz w:val="22"/>
          <w:szCs w:val="22"/>
          <w:lang w:val="en-CA"/>
        </w:rPr>
        <w:lastRenderedPageBreak/>
        <w:t>markets in various ways, and violence occurs disproportionately in relation to drug dealing and drug markets. Cars stolen for transportation or joyriding are transporting individuals who are, other things equal, more likely than other drivers to be violent at their destination.</w:t>
      </w:r>
    </w:p>
    <w:p w14:paraId="077B3F81"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The keystone in a traditional doorway arch is the large stone at the apex. Its removal causes the other stones to tumble and the archway to collapse. The analogy is also used in ecology to refer to key members of an ecosystem whose removal is disruptive. When property crime is prevented by security, we might expect violent crime to fall as a consequence, by various mechanisms. The broader strategic implication for global violence reduction elsewhere is that preventing property crime and acquisitive crime may be an effective means of reducing violent crime.</w:t>
      </w:r>
    </w:p>
    <w:p w14:paraId="1E3FEABE"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There is ample evidence from criminal career research, victimization research, and situational crime prevention research, to justify further study of the keystone hypothesis. Sex offenders, for example, are often not specialists, so it is not too far-fetched to conjecture that sexual offences may have been reduced by disruptive security technologies. And conceptual precursors of the keystone hypothesis include the free-rider effects from economics, halo effects, and studies of crime displacement and the diffusion of benefits, with keystone arguably being a specific application of the latter.</w:t>
      </w:r>
    </w:p>
    <w:p w14:paraId="151D3B51"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Global Violence Reduction in the Next 30 Years</w:t>
      </w:r>
    </w:p>
    <w:p w14:paraId="1D79400F"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The trickiest bit is extrapolating existing research to other places and crime types. It behoves us to try, while recognising that others may be better placed to do so than those researching the security hypothesis. There are clear general implications for vehicle manufacturing and the design and building of household and business premises, for product manufacture more generally, and for the design of the urban landscape and transportation systems. More generally, situational crime prevention developed through problem-solving </w:t>
      </w:r>
      <w:proofErr w:type="gramStart"/>
      <w:r w:rsidRPr="00907B3C">
        <w:rPr>
          <w:rFonts w:ascii="Didot" w:hAnsi="Didot" w:cs="Didot"/>
          <w:color w:val="121212"/>
          <w:sz w:val="22"/>
          <w:szCs w:val="22"/>
          <w:lang w:val="en-CA"/>
        </w:rPr>
        <w:t>approaches,</w:t>
      </w:r>
      <w:proofErr w:type="gramEnd"/>
      <w:r w:rsidRPr="00907B3C">
        <w:rPr>
          <w:rFonts w:ascii="Didot" w:hAnsi="Didot" w:cs="Didot"/>
          <w:color w:val="121212"/>
          <w:sz w:val="22"/>
          <w:szCs w:val="22"/>
          <w:lang w:val="en-CA"/>
        </w:rPr>
        <w:t xml:space="preserve"> is likely to prove a cost-efficient crime reduction option to any particular crime problem including particular forms of violence.</w:t>
      </w:r>
    </w:p>
    <w:p w14:paraId="4F9B4AAD"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So, to simplify, let us assume reducing property crime is the way to reduce violence as a knock-on, and that we know how to do it. This leaves How To Get It Done - implementation – </w:t>
      </w:r>
      <w:proofErr w:type="gramStart"/>
      <w:r w:rsidRPr="00907B3C">
        <w:rPr>
          <w:rFonts w:ascii="Didot" w:hAnsi="Didot" w:cs="Didot"/>
          <w:color w:val="121212"/>
          <w:sz w:val="22"/>
          <w:szCs w:val="22"/>
          <w:lang w:val="en-CA"/>
        </w:rPr>
        <w:t>which</w:t>
      </w:r>
      <w:proofErr w:type="gramEnd"/>
      <w:r w:rsidRPr="00907B3C">
        <w:rPr>
          <w:rFonts w:ascii="Didot" w:hAnsi="Didot" w:cs="Didot"/>
          <w:color w:val="121212"/>
          <w:sz w:val="22"/>
          <w:szCs w:val="22"/>
          <w:lang w:val="en-CA"/>
        </w:rPr>
        <w:t xml:space="preserve"> is likely to prove the more difficult bit. There is market failure when it comes to crime, so government and police will need to actively pursue an agenda of situational crime prevention and security. Regulation and various market-based incentives offer two broad approaches. The threat of regulation may be sufficient to start some balls rolling, as it is arguably preferable for industry to self-regulate. Market-based incentives include publicity about which products are safest (or riskiest). Theft indices, for example, can be used to stimulate manufacturers and managers to take public safety from crime more seriously. Where goods are being imported from developed countries, security requirements, at least to the level required in the country of export, could perhaps be a component of export/import licencing. Despite typical industry reluctance (and here crime is no different to other areas of social and environmental policy), most security measures are relatively cheap, particularly over time as per-unit costs fall. Generally speaking, promoting crime reduction as a form of Corporate Social Responsibility has significant potential. </w:t>
      </w:r>
    </w:p>
    <w:p w14:paraId="138CB6C7"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lastRenderedPageBreak/>
        <w:t xml:space="preserve">It may feel awkward to talk of improving security or inducing corporate social responsibility in locations where there is extensive poverty, other major social problems, or where good governance is far from assured. With respect to the latter though, it is possible that secure cars, secure properties and other products are likely to prove at least as attractive to potential consumers as elsewhere, if not more so. New-build residential areas warrant consideration in terms of Crime Prevention Through Housing Design, to use the title of Armitage’s recent book. Preventing the repeat victimization of the same persons and premises remains an efficient use of police and security resources - getting the preventive grease to the crime squeak. </w:t>
      </w:r>
    </w:p>
    <w:p w14:paraId="184CA14C"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Trafficking and smuggling of many items, including humans, are areas where crime opportunities have increased with globalisation. Likewise, a plethora of new crime opportunities are provided by the Internet, as well as by new technologies including smartphones and emerging personal technologies: smartwatches and smartglasses will offer some new and interesting possibilities for crime as well as for cheating on tests. In each instance, progress bringing new crime opportunities - as before and as usual. Here, problem-solving efforts to develop situational prevention are needed. We are already seeing the emergence of some forms of preventive security. Anti-virus softwares have been around long enough to have evolved and become fairly elegant: Microsoft Defender is the built-in default, which is self-updating and continually active, cheap and relatively less resource-intensive than predecessors and as such, more Dapper.  At the same time, Internet Service Providers are being encouraged to take responsibility for illegal activity on their services: in 2014 there have been some cases in the media of child pornographers detected by algorithms developed by Google and Microsoft. It is warming to see corporate giants beginning to take their responsibility for crime seriously. Sometimes there are relatively simple measures that require greater cooperation from international bodies to promote their implementation. The international IMEI database, for instance, with the potential to reduce trafficking of stolen phones through the harmonisation of blacklisting, has existed for around two decades and individual countries and their network providers appear to need some encouragement. </w:t>
      </w:r>
    </w:p>
    <w:p w14:paraId="4ED4B281"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Conclusion</w:t>
      </w:r>
    </w:p>
    <w:p w14:paraId="50D0ED28"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iCs/>
          <w:color w:val="121212"/>
          <w:sz w:val="22"/>
          <w:szCs w:val="22"/>
          <w:lang w:val="en-CA"/>
        </w:rPr>
        <w:t xml:space="preserve">The Compendium of United Nations Standards and Norms in Crime Prevention and Criminal Justice (2006; p. 300) states that </w:t>
      </w:r>
    </w:p>
    <w:p w14:paraId="7A26FFC1"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“Governments and civil society, including, where appropriate, the corporate sector, should support the development of situational crime prevention programmes by, inter alia:</w:t>
      </w:r>
    </w:p>
    <w:p w14:paraId="452E825A"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i/>
          <w:iCs/>
          <w:color w:val="121212"/>
          <w:sz w:val="22"/>
          <w:szCs w:val="22"/>
          <w:lang w:val="en-CA"/>
        </w:rPr>
        <w:t xml:space="preserve">(a) </w:t>
      </w:r>
      <w:r w:rsidRPr="00907B3C">
        <w:rPr>
          <w:rFonts w:ascii="Didot" w:hAnsi="Didot" w:cs="Didot"/>
          <w:color w:val="121212"/>
          <w:sz w:val="22"/>
          <w:szCs w:val="22"/>
          <w:lang w:val="en-CA"/>
        </w:rPr>
        <w:t>Improved environmental design;</w:t>
      </w:r>
    </w:p>
    <w:p w14:paraId="244B9E9F"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i/>
          <w:iCs/>
          <w:color w:val="121212"/>
          <w:sz w:val="22"/>
          <w:szCs w:val="22"/>
          <w:lang w:val="en-CA"/>
        </w:rPr>
        <w:t xml:space="preserve">(b) </w:t>
      </w:r>
      <w:r w:rsidRPr="00907B3C">
        <w:rPr>
          <w:rFonts w:ascii="Didot" w:hAnsi="Didot" w:cs="Didot"/>
          <w:color w:val="121212"/>
          <w:sz w:val="22"/>
          <w:szCs w:val="22"/>
          <w:lang w:val="en-CA"/>
        </w:rPr>
        <w:t>Appropriate methods of surveillance that are sensitive to the right to</w:t>
      </w:r>
    </w:p>
    <w:p w14:paraId="04111122"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roofErr w:type="gramStart"/>
      <w:r w:rsidRPr="00907B3C">
        <w:rPr>
          <w:rFonts w:ascii="Didot" w:hAnsi="Didot" w:cs="Didot"/>
          <w:color w:val="121212"/>
          <w:sz w:val="22"/>
          <w:szCs w:val="22"/>
          <w:lang w:val="en-CA"/>
        </w:rPr>
        <w:t>privacy</w:t>
      </w:r>
      <w:proofErr w:type="gramEnd"/>
      <w:r w:rsidRPr="00907B3C">
        <w:rPr>
          <w:rFonts w:ascii="Didot" w:hAnsi="Didot" w:cs="Didot"/>
          <w:color w:val="121212"/>
          <w:sz w:val="22"/>
          <w:szCs w:val="22"/>
          <w:lang w:val="en-CA"/>
        </w:rPr>
        <w:t>;</w:t>
      </w:r>
    </w:p>
    <w:p w14:paraId="1DCAF0E3"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i/>
          <w:iCs/>
          <w:color w:val="121212"/>
          <w:sz w:val="22"/>
          <w:szCs w:val="22"/>
          <w:lang w:val="en-CA"/>
        </w:rPr>
        <w:t xml:space="preserve">(c) </w:t>
      </w:r>
      <w:r w:rsidRPr="00907B3C">
        <w:rPr>
          <w:rFonts w:ascii="Didot" w:hAnsi="Didot" w:cs="Didot"/>
          <w:color w:val="121212"/>
          <w:sz w:val="22"/>
          <w:szCs w:val="22"/>
          <w:lang w:val="en-CA"/>
        </w:rPr>
        <w:t>Encouraging the design of consumer goods to make them more</w:t>
      </w:r>
    </w:p>
    <w:p w14:paraId="0D87FC66"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roofErr w:type="gramStart"/>
      <w:r w:rsidRPr="00907B3C">
        <w:rPr>
          <w:rFonts w:ascii="Didot" w:hAnsi="Didot" w:cs="Didot"/>
          <w:color w:val="121212"/>
          <w:sz w:val="22"/>
          <w:szCs w:val="22"/>
          <w:lang w:val="en-CA"/>
        </w:rPr>
        <w:t>resistant</w:t>
      </w:r>
      <w:proofErr w:type="gramEnd"/>
      <w:r w:rsidRPr="00907B3C">
        <w:rPr>
          <w:rFonts w:ascii="Didot" w:hAnsi="Didot" w:cs="Didot"/>
          <w:color w:val="121212"/>
          <w:sz w:val="22"/>
          <w:szCs w:val="22"/>
          <w:lang w:val="en-CA"/>
        </w:rPr>
        <w:t xml:space="preserve"> to crime;</w:t>
      </w:r>
    </w:p>
    <w:p w14:paraId="278DE05C" w14:textId="08E4F58D" w:rsidR="00B34EBC"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i/>
          <w:iCs/>
          <w:color w:val="121212"/>
          <w:sz w:val="22"/>
          <w:szCs w:val="22"/>
          <w:lang w:val="en-CA"/>
        </w:rPr>
        <w:lastRenderedPageBreak/>
        <w:t xml:space="preserve">(d) </w:t>
      </w:r>
      <w:r w:rsidRPr="00907B3C">
        <w:rPr>
          <w:rFonts w:ascii="Didot" w:hAnsi="Didot" w:cs="Didot"/>
          <w:color w:val="121212"/>
          <w:sz w:val="22"/>
          <w:szCs w:val="22"/>
          <w:lang w:val="en-CA"/>
        </w:rPr>
        <w:t>Target “hardening” without impinging upon the quality of the built</w:t>
      </w:r>
    </w:p>
    <w:p w14:paraId="26AC8240"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roofErr w:type="gramStart"/>
      <w:r w:rsidRPr="00907B3C">
        <w:rPr>
          <w:rFonts w:ascii="Didot" w:hAnsi="Didot" w:cs="Didot"/>
          <w:color w:val="121212"/>
          <w:sz w:val="22"/>
          <w:szCs w:val="22"/>
          <w:lang w:val="en-CA"/>
        </w:rPr>
        <w:t>environment</w:t>
      </w:r>
      <w:proofErr w:type="gramEnd"/>
      <w:r w:rsidRPr="00907B3C">
        <w:rPr>
          <w:rFonts w:ascii="Didot" w:hAnsi="Didot" w:cs="Didot"/>
          <w:color w:val="121212"/>
          <w:sz w:val="22"/>
          <w:szCs w:val="22"/>
          <w:lang w:val="en-CA"/>
        </w:rPr>
        <w:t xml:space="preserve"> or limiting free access to public space;</w:t>
      </w:r>
    </w:p>
    <w:p w14:paraId="430D92AA"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i/>
          <w:iCs/>
          <w:color w:val="121212"/>
          <w:sz w:val="22"/>
          <w:szCs w:val="22"/>
          <w:lang w:val="en-CA"/>
        </w:rPr>
        <w:t xml:space="preserve">(e) </w:t>
      </w:r>
      <w:r w:rsidRPr="00907B3C">
        <w:rPr>
          <w:rFonts w:ascii="Didot" w:hAnsi="Didot" w:cs="Didot"/>
          <w:color w:val="121212"/>
          <w:sz w:val="22"/>
          <w:szCs w:val="22"/>
          <w:lang w:val="en-CA"/>
        </w:rPr>
        <w:t xml:space="preserve">Implementing strategies to prevent repeat victimization.” </w:t>
      </w:r>
    </w:p>
    <w:p w14:paraId="7AC04D2F"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
    <w:p w14:paraId="3E5E0494"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The recommendation by the United Nations may provide a springboard for the development of national-level strategies. Much criminology is still concerned with promoting various other forms of social wellbeing rather than reducing crime, and while much of this may be </w:t>
      </w:r>
      <w:proofErr w:type="gramStart"/>
      <w:r w:rsidRPr="00907B3C">
        <w:rPr>
          <w:rFonts w:ascii="Didot" w:hAnsi="Didot" w:cs="Didot"/>
          <w:color w:val="121212"/>
          <w:sz w:val="22"/>
          <w:szCs w:val="22"/>
          <w:lang w:val="en-CA"/>
        </w:rPr>
        <w:t>well-meaning</w:t>
      </w:r>
      <w:proofErr w:type="gramEnd"/>
      <w:r w:rsidRPr="00907B3C">
        <w:rPr>
          <w:rFonts w:ascii="Didot" w:hAnsi="Didot" w:cs="Didot"/>
          <w:color w:val="121212"/>
          <w:sz w:val="22"/>
          <w:szCs w:val="22"/>
          <w:lang w:val="en-CA"/>
        </w:rPr>
        <w:t xml:space="preserve">, I would expect it to continue to be ineffective. Situational crime prevention through </w:t>
      </w:r>
      <w:proofErr w:type="gramStart"/>
      <w:r w:rsidRPr="00907B3C">
        <w:rPr>
          <w:rFonts w:ascii="Didot" w:hAnsi="Didot" w:cs="Didot"/>
          <w:color w:val="121212"/>
          <w:sz w:val="22"/>
          <w:szCs w:val="22"/>
          <w:lang w:val="en-CA"/>
        </w:rPr>
        <w:t>problem-solving</w:t>
      </w:r>
      <w:proofErr w:type="gramEnd"/>
      <w:r w:rsidRPr="00907B3C">
        <w:rPr>
          <w:rFonts w:ascii="Didot" w:hAnsi="Didot" w:cs="Didot"/>
          <w:color w:val="121212"/>
          <w:sz w:val="22"/>
          <w:szCs w:val="22"/>
          <w:lang w:val="en-CA"/>
        </w:rPr>
        <w:t xml:space="preserve"> is barely on the policy radar in some counties. </w:t>
      </w:r>
    </w:p>
    <w:p w14:paraId="37E26906"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CA"/>
        </w:rPr>
        <w:t xml:space="preserve">Harnessing the knowledge and power of industry to reduce crime, and to mobilise industry’s technological expertise in particular, will require a balance of regulation and incentives. Yet this is also where society’s comparative advantage over offenders lies: in harnessing the massive existing amount of knowledge that we have in relation to the design of consumer products and services, the urban landscape and architecture, transport networks and telecommunications and the Internet. Society has the skills, expertise and technological know-how to outpace even the most adaptive of offenders, but getting that message to policy-makers is a necessary prerequisite.  </w:t>
      </w:r>
    </w:p>
    <w:p w14:paraId="03E3DB0F"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
    <w:p w14:paraId="575773B0"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b/>
          <w:color w:val="121212"/>
          <w:sz w:val="22"/>
          <w:szCs w:val="22"/>
          <w:lang w:val="en-CA"/>
        </w:rPr>
      </w:pPr>
      <w:r w:rsidRPr="00907B3C">
        <w:rPr>
          <w:rFonts w:ascii="Didot" w:hAnsi="Didot" w:cs="Didot"/>
          <w:b/>
          <w:color w:val="121212"/>
          <w:sz w:val="22"/>
          <w:szCs w:val="22"/>
          <w:lang w:val="en-CA"/>
        </w:rPr>
        <w:t>Selected Bibliography</w:t>
      </w:r>
    </w:p>
    <w:p w14:paraId="50FE0B57"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roofErr w:type="gramStart"/>
      <w:r w:rsidRPr="00907B3C">
        <w:rPr>
          <w:rFonts w:ascii="Didot" w:hAnsi="Didot" w:cs="Didot"/>
          <w:color w:val="121212"/>
          <w:sz w:val="22"/>
          <w:szCs w:val="22"/>
          <w:lang w:val="en-CA"/>
        </w:rPr>
        <w:t>Farrell, G., N. Tilley and A. Tseloni.</w:t>
      </w:r>
      <w:proofErr w:type="gramEnd"/>
      <w:r w:rsidRPr="00907B3C">
        <w:rPr>
          <w:rFonts w:ascii="Didot" w:hAnsi="Didot" w:cs="Didot"/>
          <w:color w:val="121212"/>
          <w:sz w:val="22"/>
          <w:szCs w:val="22"/>
          <w:lang w:val="en-CA"/>
        </w:rPr>
        <w:t xml:space="preserve"> (2014)</w:t>
      </w:r>
      <w:proofErr w:type="gramStart"/>
      <w:r w:rsidRPr="00907B3C">
        <w:rPr>
          <w:rFonts w:ascii="Didot" w:hAnsi="Didot" w:cs="Didot"/>
          <w:color w:val="121212"/>
          <w:sz w:val="22"/>
          <w:szCs w:val="22"/>
          <w:lang w:val="en-CA"/>
        </w:rPr>
        <w:t xml:space="preserve">. ‘Why the crime drop?’ in M. Tonry (Ed.) </w:t>
      </w:r>
      <w:r w:rsidRPr="00907B3C">
        <w:rPr>
          <w:rFonts w:ascii="Didot" w:hAnsi="Didot" w:cs="Didot"/>
          <w:i/>
          <w:color w:val="121212"/>
          <w:sz w:val="22"/>
          <w:szCs w:val="22"/>
          <w:lang w:val="en-CA"/>
        </w:rPr>
        <w:t>Why Crime Rates Fall and Why They Don’t</w:t>
      </w:r>
      <w:r w:rsidRPr="00907B3C">
        <w:rPr>
          <w:rFonts w:ascii="Didot" w:hAnsi="Didot" w:cs="Didot"/>
          <w:color w:val="121212"/>
          <w:sz w:val="22"/>
          <w:szCs w:val="22"/>
          <w:lang w:val="en-CA"/>
        </w:rPr>
        <w:t xml:space="preserve">, volume 43 of </w:t>
      </w:r>
      <w:r w:rsidRPr="00907B3C">
        <w:rPr>
          <w:rFonts w:ascii="Didot" w:hAnsi="Didot" w:cs="Didot"/>
          <w:i/>
          <w:color w:val="121212"/>
          <w:sz w:val="22"/>
          <w:szCs w:val="22"/>
          <w:lang w:val="en-CA"/>
        </w:rPr>
        <w:t>Crime and Justice</w:t>
      </w:r>
      <w:r w:rsidRPr="00907B3C">
        <w:rPr>
          <w:rFonts w:ascii="Didot" w:hAnsi="Didot" w:cs="Didot"/>
          <w:color w:val="121212"/>
          <w:sz w:val="22"/>
          <w:szCs w:val="22"/>
          <w:lang w:val="en-CA"/>
        </w:rPr>
        <w:t>.</w:t>
      </w:r>
      <w:proofErr w:type="gramEnd"/>
      <w:r w:rsidRPr="00907B3C">
        <w:rPr>
          <w:rFonts w:ascii="Didot" w:hAnsi="Didot" w:cs="Didot"/>
          <w:color w:val="121212"/>
          <w:sz w:val="22"/>
          <w:szCs w:val="22"/>
          <w:lang w:val="en-CA"/>
        </w:rPr>
        <w:t xml:space="preserve"> Chicago: University of Chicago Press. (</w:t>
      </w:r>
      <w:proofErr w:type="gramStart"/>
      <w:r w:rsidRPr="00907B3C">
        <w:rPr>
          <w:rFonts w:ascii="Didot" w:hAnsi="Didot" w:cs="Didot"/>
          <w:color w:val="121212"/>
          <w:sz w:val="22"/>
          <w:szCs w:val="22"/>
          <w:lang w:val="en-CA"/>
        </w:rPr>
        <w:t>in</w:t>
      </w:r>
      <w:proofErr w:type="gramEnd"/>
      <w:r w:rsidRPr="00907B3C">
        <w:rPr>
          <w:rFonts w:ascii="Didot" w:hAnsi="Didot" w:cs="Didot"/>
          <w:color w:val="121212"/>
          <w:sz w:val="22"/>
          <w:szCs w:val="22"/>
          <w:lang w:val="en-CA"/>
        </w:rPr>
        <w:t xml:space="preserve"> press for October). </w:t>
      </w:r>
    </w:p>
    <w:p w14:paraId="3D05F1BB"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r w:rsidRPr="00907B3C">
        <w:rPr>
          <w:rFonts w:ascii="Didot" w:hAnsi="Didot" w:cs="Didot"/>
          <w:color w:val="121212"/>
          <w:sz w:val="22"/>
          <w:szCs w:val="22"/>
          <w:lang w:val="en-GB"/>
        </w:rPr>
        <w:t xml:space="preserve">Farrell, G. (2013). </w:t>
      </w:r>
      <w:proofErr w:type="gramStart"/>
      <w:r w:rsidRPr="00907B3C">
        <w:rPr>
          <w:rFonts w:ascii="Didot" w:hAnsi="Didot" w:cs="Didot"/>
          <w:color w:val="121212"/>
          <w:sz w:val="22"/>
          <w:szCs w:val="22"/>
          <w:lang w:val="en-GB"/>
        </w:rPr>
        <w:t xml:space="preserve">‘Five tests for a theory of the crime drop’ </w:t>
      </w:r>
      <w:r w:rsidRPr="00907B3C">
        <w:rPr>
          <w:rFonts w:ascii="Didot" w:hAnsi="Didot" w:cs="Didot"/>
          <w:i/>
          <w:color w:val="121212"/>
          <w:sz w:val="22"/>
          <w:szCs w:val="22"/>
          <w:lang w:val="en-GB"/>
        </w:rPr>
        <w:t>Crime Science</w:t>
      </w:r>
      <w:r w:rsidRPr="00907B3C">
        <w:rPr>
          <w:rFonts w:ascii="Didot" w:hAnsi="Didot" w:cs="Didot"/>
          <w:color w:val="121212"/>
          <w:sz w:val="22"/>
          <w:szCs w:val="22"/>
          <w:lang w:val="en-GB"/>
        </w:rPr>
        <w:t xml:space="preserve"> 2(5); 1-8.</w:t>
      </w:r>
      <w:proofErr w:type="gramEnd"/>
      <w:r w:rsidRPr="00907B3C">
        <w:rPr>
          <w:rFonts w:ascii="Didot" w:hAnsi="Didot" w:cs="Didot"/>
          <w:color w:val="121212"/>
          <w:sz w:val="22"/>
          <w:szCs w:val="22"/>
          <w:lang w:val="en-GB"/>
        </w:rPr>
        <w:t xml:space="preserve"> (Open Access at </w:t>
      </w:r>
      <w:hyperlink r:id="rId25" w:history="1">
        <w:r w:rsidRPr="00907B3C">
          <w:rPr>
            <w:rStyle w:val="Hyperlink"/>
            <w:rFonts w:ascii="Didot" w:hAnsi="Didot" w:cs="Didot"/>
            <w:sz w:val="22"/>
            <w:szCs w:val="22"/>
            <w:lang w:val="en-GB"/>
          </w:rPr>
          <w:t>www.crimesciencejournal.com</w:t>
        </w:r>
      </w:hyperlink>
      <w:proofErr w:type="gramStart"/>
      <w:r w:rsidRPr="00907B3C">
        <w:rPr>
          <w:rFonts w:ascii="Didot" w:hAnsi="Didot" w:cs="Didot"/>
          <w:color w:val="121212"/>
          <w:sz w:val="22"/>
          <w:szCs w:val="22"/>
          <w:lang w:val="en-GB"/>
        </w:rPr>
        <w:t xml:space="preserve"> )</w:t>
      </w:r>
      <w:proofErr w:type="gramEnd"/>
    </w:p>
    <w:p w14:paraId="281766B5" w14:textId="77777777" w:rsidR="00391334" w:rsidRPr="00907B3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GB"/>
        </w:rPr>
      </w:pPr>
      <w:proofErr w:type="gramStart"/>
      <w:r w:rsidRPr="00907B3C">
        <w:rPr>
          <w:rFonts w:ascii="Didot" w:hAnsi="Didot" w:cs="Didot"/>
          <w:color w:val="121212"/>
          <w:sz w:val="22"/>
          <w:szCs w:val="22"/>
          <w:lang w:val="en-GB"/>
        </w:rPr>
        <w:t>Farrell, G, A. Tseloni and J. Mailley, and N. Tilley.</w:t>
      </w:r>
      <w:proofErr w:type="gramEnd"/>
      <w:r w:rsidRPr="00907B3C">
        <w:rPr>
          <w:rFonts w:ascii="Didot" w:hAnsi="Didot" w:cs="Didot"/>
          <w:color w:val="121212"/>
          <w:sz w:val="22"/>
          <w:szCs w:val="22"/>
          <w:lang w:val="en-GB"/>
        </w:rPr>
        <w:t xml:space="preserve"> </w:t>
      </w:r>
      <w:proofErr w:type="gramStart"/>
      <w:r w:rsidRPr="00907B3C">
        <w:rPr>
          <w:rFonts w:ascii="Didot" w:hAnsi="Didot" w:cs="Didot"/>
          <w:color w:val="121212"/>
          <w:sz w:val="22"/>
          <w:szCs w:val="22"/>
          <w:lang w:val="en-GB"/>
        </w:rPr>
        <w:t xml:space="preserve">(2011).  ‘The crime drop and the security hypothesis’ </w:t>
      </w:r>
      <w:r w:rsidRPr="00907B3C">
        <w:rPr>
          <w:rFonts w:ascii="Didot" w:hAnsi="Didot" w:cs="Didot"/>
          <w:i/>
          <w:color w:val="121212"/>
          <w:sz w:val="22"/>
          <w:szCs w:val="22"/>
          <w:lang w:val="en-GB"/>
        </w:rPr>
        <w:t>Journal of Research in Crime and Delinquency</w:t>
      </w:r>
      <w:r w:rsidRPr="00907B3C">
        <w:rPr>
          <w:rFonts w:ascii="Didot" w:hAnsi="Didot" w:cs="Didot"/>
          <w:color w:val="121212"/>
          <w:sz w:val="22"/>
          <w:szCs w:val="22"/>
          <w:lang w:val="en-GB"/>
        </w:rPr>
        <w:t>, 48(2); 147-175.</w:t>
      </w:r>
      <w:proofErr w:type="gramEnd"/>
      <w:r w:rsidRPr="00907B3C">
        <w:rPr>
          <w:rFonts w:ascii="Didot" w:hAnsi="Didot" w:cs="Didot"/>
          <w:color w:val="121212"/>
          <w:sz w:val="22"/>
          <w:szCs w:val="22"/>
          <w:lang w:val="en-GB"/>
        </w:rPr>
        <w:t xml:space="preserve"> </w:t>
      </w:r>
    </w:p>
    <w:p w14:paraId="24CBE414" w14:textId="77777777" w:rsidR="00391334" w:rsidRPr="006916FC" w:rsidRDefault="003913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CA"/>
        </w:rPr>
      </w:pPr>
    </w:p>
    <w:p w14:paraId="7F4C5546" w14:textId="77777777" w:rsidR="00216034" w:rsidRPr="006916FC" w:rsidRDefault="00216034" w:rsidP="008A7E29">
      <w:pPr>
        <w:widowControl w:val="0"/>
        <w:pBdr>
          <w:bottom w:val="single" w:sz="6" w:space="1" w:color="auto"/>
        </w:pBdr>
        <w:autoSpaceDE w:val="0"/>
        <w:autoSpaceDN w:val="0"/>
        <w:adjustRightInd w:val="0"/>
        <w:spacing w:after="200"/>
        <w:jc w:val="both"/>
        <w:rPr>
          <w:rFonts w:ascii="Didot" w:hAnsi="Didot" w:cs="Didot"/>
          <w:bCs/>
          <w:color w:val="1A1A1A"/>
          <w:lang w:val="en-US"/>
        </w:rPr>
      </w:pPr>
    </w:p>
    <w:p w14:paraId="2E705B7D" w14:textId="77777777" w:rsidR="000623D9" w:rsidRPr="006916FC" w:rsidRDefault="000623D9" w:rsidP="008A7E29">
      <w:pPr>
        <w:widowControl w:val="0"/>
        <w:autoSpaceDE w:val="0"/>
        <w:autoSpaceDN w:val="0"/>
        <w:adjustRightInd w:val="0"/>
        <w:spacing w:after="200"/>
        <w:jc w:val="both"/>
        <w:rPr>
          <w:rFonts w:ascii="Didot" w:hAnsi="Didot" w:cs="Didot"/>
          <w:bCs/>
          <w:color w:val="1A1A1A"/>
          <w:lang w:val="en-US"/>
        </w:rPr>
      </w:pPr>
    </w:p>
    <w:p w14:paraId="7ADB4626" w14:textId="52ACEAAD" w:rsidR="00216034" w:rsidRPr="006916FC" w:rsidRDefault="00B34EBC" w:rsidP="008A7E29">
      <w:pPr>
        <w:pStyle w:val="Heading2"/>
        <w:jc w:val="both"/>
        <w:rPr>
          <w:rFonts w:ascii="Didot" w:hAnsi="Didot" w:cs="Didot"/>
          <w:color w:val="auto"/>
          <w:sz w:val="34"/>
          <w:szCs w:val="34"/>
        </w:rPr>
      </w:pPr>
      <w:bookmarkStart w:id="110" w:name="_Toc272639935"/>
      <w:r>
        <w:rPr>
          <w:rFonts w:ascii="Didot" w:hAnsi="Didot" w:cs="Didot"/>
          <w:color w:val="auto"/>
          <w:sz w:val="34"/>
          <w:szCs w:val="34"/>
        </w:rPr>
        <w:br w:type="column"/>
      </w:r>
      <w:bookmarkStart w:id="111" w:name="_Toc272645058"/>
      <w:r w:rsidR="00343493" w:rsidRPr="006916FC">
        <w:rPr>
          <w:rFonts w:ascii="Didot" w:hAnsi="Didot" w:cs="Didot"/>
          <w:color w:val="auto"/>
          <w:sz w:val="34"/>
          <w:szCs w:val="34"/>
        </w:rPr>
        <w:lastRenderedPageBreak/>
        <w:t>Mark Bellis</w:t>
      </w:r>
      <w:bookmarkEnd w:id="110"/>
      <w:bookmarkEnd w:id="111"/>
    </w:p>
    <w:p w14:paraId="07F100C3" w14:textId="77777777" w:rsidR="00D84C5F" w:rsidRDefault="00D84C5F" w:rsidP="008A7E29">
      <w:pPr>
        <w:widowControl w:val="0"/>
        <w:autoSpaceDE w:val="0"/>
        <w:autoSpaceDN w:val="0"/>
        <w:adjustRightInd w:val="0"/>
        <w:spacing w:after="200"/>
        <w:jc w:val="both"/>
        <w:rPr>
          <w:rFonts w:ascii="Didot" w:hAnsi="Didot" w:cs="Didot"/>
          <w:b/>
          <w:lang w:val="en-US"/>
        </w:rPr>
      </w:pPr>
    </w:p>
    <w:p w14:paraId="491F0C61" w14:textId="77777777" w:rsidR="00362AAD" w:rsidRPr="00BB521F" w:rsidRDefault="00362AAD" w:rsidP="008A7E29">
      <w:pPr>
        <w:widowControl w:val="0"/>
        <w:autoSpaceDE w:val="0"/>
        <w:autoSpaceDN w:val="0"/>
        <w:adjustRightInd w:val="0"/>
        <w:spacing w:after="200"/>
        <w:jc w:val="both"/>
        <w:rPr>
          <w:rFonts w:ascii="Didot" w:hAnsi="Didot" w:cs="Didot"/>
          <w:b/>
          <w:lang w:val="en-US"/>
        </w:rPr>
      </w:pPr>
      <w:r w:rsidRPr="00BB521F">
        <w:rPr>
          <w:rFonts w:ascii="Didot" w:hAnsi="Didot" w:cs="Didot"/>
          <w:b/>
          <w:lang w:val="en-US"/>
        </w:rPr>
        <w:t>Abstract</w:t>
      </w:r>
    </w:p>
    <w:p w14:paraId="472AB749" w14:textId="77777777" w:rsidR="00362AAD" w:rsidRPr="00BB521F" w:rsidRDefault="00362AAD" w:rsidP="008A7E29">
      <w:pPr>
        <w:widowControl w:val="0"/>
        <w:autoSpaceDE w:val="0"/>
        <w:autoSpaceDN w:val="0"/>
        <w:adjustRightInd w:val="0"/>
        <w:spacing w:after="200"/>
        <w:jc w:val="both"/>
        <w:rPr>
          <w:rFonts w:ascii="Didot" w:hAnsi="Didot" w:cs="Didot"/>
          <w:b/>
          <w:lang w:val="en-US"/>
        </w:rPr>
      </w:pPr>
      <w:r w:rsidRPr="00BB521F">
        <w:rPr>
          <w:rFonts w:ascii="Didot" w:hAnsi="Didot" w:cs="Didot"/>
          <w:b/>
          <w:lang w:val="en-US"/>
        </w:rPr>
        <w:t>Reducing Alcohol-Related Violence – Equity, Environment and Early Years</w:t>
      </w:r>
    </w:p>
    <w:p w14:paraId="4CC64163" w14:textId="77777777" w:rsidR="00362AAD" w:rsidRPr="00907B3C" w:rsidRDefault="00362A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907B3C">
        <w:rPr>
          <w:rFonts w:ascii="Didot" w:hAnsi="Didot" w:cs="Didot"/>
          <w:color w:val="121212"/>
          <w:sz w:val="22"/>
          <w:szCs w:val="22"/>
          <w:lang w:val="en-US"/>
        </w:rPr>
        <w:t xml:space="preserve">Globally, consumption of alcohol is strongly associated with violence. The Crime Survey for England and Wales reports that approximately half (49%) of an estimated 1.9 million violent incidents each year are alcohol-related. This excludes many of the two million cases of domestic violence and nearly half a million incidents of sexual assault committed in England and Wales each year where between 25%-40% are likely to be alcohol-related. Alcohol is also associated with child maltreatment, elder abuse and self-directed harm (e.g. suicide). With many violent incidents occurring near where people drink, prevention efforts often focus on adapting the design and management of drinking locations (e.g. nightlife settings) to reduce risks of violence. In addition, policy initiatives have aimed to limit access to alcohol through: taxation and pricing policies that increase price and restrict the number of establishments licensed to sell alcohol; altering hours of trading; and controlling advertising of alcohol products. Such measures have proved effective at reducing alcohol-related violence. However, evidence increasingly suggests that individuals' propensity to engage in violence is also related to their current socio-economic conditions and their history of exposure to violence and other stressors since conception. This presentation discusses the relative contributions of environmental, socio-economics and early years experiences to alcohol-related violence. It explores the potential consequences of an expanding global alcohol </w:t>
      </w:r>
      <w:proofErr w:type="gramStart"/>
      <w:r w:rsidRPr="00907B3C">
        <w:rPr>
          <w:rFonts w:ascii="Didot" w:hAnsi="Didot" w:cs="Didot"/>
          <w:color w:val="121212"/>
          <w:sz w:val="22"/>
          <w:szCs w:val="22"/>
          <w:lang w:val="en-US"/>
        </w:rPr>
        <w:t>market which</w:t>
      </w:r>
      <w:proofErr w:type="gramEnd"/>
      <w:r w:rsidRPr="00907B3C">
        <w:rPr>
          <w:rFonts w:ascii="Didot" w:hAnsi="Didot" w:cs="Didot"/>
          <w:color w:val="121212"/>
          <w:sz w:val="22"/>
          <w:szCs w:val="22"/>
          <w:lang w:val="en-US"/>
        </w:rPr>
        <w:t xml:space="preserve"> is vigorously pursuing sales in developing countries and examines how understanding relationships between alcohol and violence can be utilised in violence prevention.</w:t>
      </w:r>
    </w:p>
    <w:p w14:paraId="6CC752F2"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35C601E7" w14:textId="77777777" w:rsidR="000623D9" w:rsidRPr="006916FC" w:rsidRDefault="000623D9" w:rsidP="008A7E29">
      <w:pPr>
        <w:widowControl w:val="0"/>
        <w:autoSpaceDE w:val="0"/>
        <w:autoSpaceDN w:val="0"/>
        <w:adjustRightInd w:val="0"/>
        <w:spacing w:after="240"/>
        <w:jc w:val="both"/>
        <w:rPr>
          <w:rFonts w:ascii="Didot" w:hAnsi="Didot" w:cs="Didot"/>
          <w:b/>
          <w:bCs/>
          <w:color w:val="1A1A1A"/>
          <w:lang w:val="en-US"/>
        </w:rPr>
      </w:pPr>
    </w:p>
    <w:p w14:paraId="0843DBA7" w14:textId="77777777" w:rsidR="00362AAD" w:rsidRPr="006916FC" w:rsidRDefault="00362AAD" w:rsidP="008A7E29">
      <w:pPr>
        <w:pStyle w:val="Heading2"/>
        <w:jc w:val="both"/>
        <w:rPr>
          <w:rFonts w:ascii="Didot" w:hAnsi="Didot" w:cs="Didot"/>
          <w:color w:val="auto"/>
          <w:sz w:val="34"/>
          <w:szCs w:val="34"/>
        </w:rPr>
      </w:pPr>
      <w:bookmarkStart w:id="112" w:name="_Toc272639936"/>
      <w:bookmarkStart w:id="113" w:name="_Toc272645059"/>
      <w:r w:rsidRPr="006916FC">
        <w:rPr>
          <w:rFonts w:ascii="Didot" w:hAnsi="Didot" w:cs="Didot"/>
          <w:color w:val="auto"/>
          <w:sz w:val="34"/>
          <w:szCs w:val="34"/>
        </w:rPr>
        <w:t>Keith Krause</w:t>
      </w:r>
      <w:bookmarkEnd w:id="112"/>
      <w:bookmarkEnd w:id="113"/>
    </w:p>
    <w:p w14:paraId="43B6DBAE" w14:textId="77777777" w:rsidR="00D84C5F" w:rsidRDefault="00D84C5F" w:rsidP="008A7E29">
      <w:pPr>
        <w:widowControl w:val="0"/>
        <w:autoSpaceDE w:val="0"/>
        <w:autoSpaceDN w:val="0"/>
        <w:adjustRightInd w:val="0"/>
        <w:spacing w:after="200"/>
        <w:jc w:val="both"/>
        <w:rPr>
          <w:rFonts w:ascii="Didot" w:hAnsi="Didot" w:cs="Didot"/>
          <w:b/>
          <w:lang w:val="en-US"/>
        </w:rPr>
      </w:pPr>
    </w:p>
    <w:p w14:paraId="6CABCF7C" w14:textId="68DB2BB5" w:rsidR="00900655" w:rsidRPr="00BB521F" w:rsidRDefault="00907B3C" w:rsidP="008A7E29">
      <w:pPr>
        <w:widowControl w:val="0"/>
        <w:autoSpaceDE w:val="0"/>
        <w:autoSpaceDN w:val="0"/>
        <w:adjustRightInd w:val="0"/>
        <w:spacing w:after="200"/>
        <w:jc w:val="both"/>
        <w:rPr>
          <w:rFonts w:ascii="Didot" w:hAnsi="Didot" w:cs="Didot"/>
          <w:b/>
          <w:lang w:val="en-US"/>
        </w:rPr>
      </w:pPr>
      <w:r w:rsidRPr="00BB521F">
        <w:rPr>
          <w:rFonts w:ascii="Didot" w:hAnsi="Didot" w:cs="Didot"/>
          <w:b/>
          <w:lang w:val="en-US"/>
        </w:rPr>
        <w:t>Abstract</w:t>
      </w:r>
    </w:p>
    <w:p w14:paraId="37027000" w14:textId="2139819C" w:rsidR="00B552DA" w:rsidRPr="00BB521F" w:rsidRDefault="00B552DA" w:rsidP="008A7E29">
      <w:pPr>
        <w:keepLines/>
        <w:jc w:val="both"/>
        <w:rPr>
          <w:rFonts w:ascii="Didot" w:hAnsi="Didot" w:cs="Didot"/>
          <w:b/>
          <w:lang w:val="en-US"/>
        </w:rPr>
      </w:pPr>
      <w:r w:rsidRPr="00BB521F">
        <w:rPr>
          <w:rFonts w:ascii="Didot" w:hAnsi="Didot" w:cs="Didot"/>
          <w:b/>
          <w:lang w:val="en-US"/>
        </w:rPr>
        <w:t>Controlling Access to Firearms</w:t>
      </w:r>
    </w:p>
    <w:p w14:paraId="62CAA43E" w14:textId="77777777" w:rsidR="00B552DA" w:rsidRPr="006916FC" w:rsidRDefault="00B552DA" w:rsidP="008A7E29">
      <w:pPr>
        <w:keepLines/>
        <w:spacing w:after="120"/>
        <w:jc w:val="both"/>
        <w:rPr>
          <w:rFonts w:ascii="Didot" w:hAnsi="Didot" w:cs="Didot"/>
          <w:lang w:val="en-GB"/>
        </w:rPr>
      </w:pPr>
    </w:p>
    <w:p w14:paraId="130BD7D6" w14:textId="77777777" w:rsidR="00160E26" w:rsidRPr="006916FC" w:rsidRDefault="00160E26" w:rsidP="008A7E29">
      <w:pPr>
        <w:keepLines/>
        <w:spacing w:before="20" w:after="120"/>
        <w:jc w:val="both"/>
        <w:rPr>
          <w:rFonts w:ascii="Didot" w:hAnsi="Didot" w:cs="Didot"/>
          <w:lang w:val="en-GB"/>
        </w:rPr>
        <w:sectPr w:rsidR="00160E26" w:rsidRPr="006916FC" w:rsidSect="003D6AB9">
          <w:type w:val="continuous"/>
          <w:pgSz w:w="11900" w:h="16840"/>
          <w:pgMar w:top="1440" w:right="1800" w:bottom="1440" w:left="1800" w:header="708" w:footer="708" w:gutter="0"/>
          <w:cols w:space="708"/>
          <w:docGrid w:linePitch="360"/>
        </w:sectPr>
      </w:pPr>
    </w:p>
    <w:p w14:paraId="4863E324"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lastRenderedPageBreak/>
        <w:t>Most analyses of effective strategies for violence prevention and reduction have focused on specific – often very limited – experiences and diagnoses of “what works.” Most have also focused on characteristics of perpetrators, or specific types of violence; and occasionally on the role played by particular “triggers” for violence, includes such things as the co-presence of drugs, alcohol or firearms.</w:t>
      </w:r>
    </w:p>
    <w:p w14:paraId="3B0DB0F9"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lastRenderedPageBreak/>
        <w:t>My presentation will come at this from a slightly different angle, and adopt a global perspective on one particular trigger (no pun intended): the role of firearms. It will do so in four steps. It will first dress a portrait of “who dies violently where?” and then match this with what we know about the role of firearms in violent deaths. It will then trace what is known about different legislative approaches to firearms control to show the wide variation in national legal frameworks, and discuss the strengths and limitations of legislative approaches to firearms control and violence reduction.</w:t>
      </w:r>
    </w:p>
    <w:p w14:paraId="174B1295"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Finally, some (very) tentative conclusions can be drawn, both about the overall picture (“do more firearms lead to greater – or lesser – violence?”) and about the more intricate ways in which firearms are linked to lethal violence. Aside from highlighting major gaps in our knowledge, my presentation will focus on some useful strategies for certain kinds of armed violence prevention, and raise some more general conceptual problems with the “triggers” approach to thinking about change in complex social systems.</w:t>
      </w:r>
    </w:p>
    <w:p w14:paraId="3614949A" w14:textId="77777777" w:rsidR="00B552DA" w:rsidRPr="00907B3C" w:rsidRDefault="00B552DA" w:rsidP="008A7E29">
      <w:pPr>
        <w:keepLines/>
        <w:pBdr>
          <w:bottom w:val="single" w:sz="12" w:space="1" w:color="auto"/>
        </w:pBdr>
        <w:spacing w:before="20" w:after="120"/>
        <w:jc w:val="both"/>
        <w:rPr>
          <w:rFonts w:ascii="Didot" w:hAnsi="Didot" w:cs="Didot"/>
          <w:sz w:val="22"/>
          <w:szCs w:val="22"/>
          <w:lang w:val="en-GB"/>
        </w:rPr>
      </w:pPr>
    </w:p>
    <w:p w14:paraId="4E95B3CF" w14:textId="77777777" w:rsidR="00B552DA" w:rsidRDefault="00B552DA" w:rsidP="008A7E29">
      <w:pPr>
        <w:keepLines/>
        <w:spacing w:before="20" w:after="120"/>
        <w:jc w:val="both"/>
        <w:rPr>
          <w:rFonts w:ascii="Didot" w:hAnsi="Didot" w:cs="Didot"/>
          <w:sz w:val="22"/>
          <w:szCs w:val="22"/>
          <w:lang w:val="en-GB"/>
        </w:rPr>
      </w:pPr>
    </w:p>
    <w:p w14:paraId="18D6608A" w14:textId="564AFC88" w:rsidR="00907B3C" w:rsidRPr="00BB521F" w:rsidRDefault="00907B3C" w:rsidP="00907B3C">
      <w:pPr>
        <w:widowControl w:val="0"/>
        <w:autoSpaceDE w:val="0"/>
        <w:autoSpaceDN w:val="0"/>
        <w:adjustRightInd w:val="0"/>
        <w:spacing w:after="200"/>
        <w:jc w:val="both"/>
        <w:rPr>
          <w:rFonts w:ascii="Didot" w:hAnsi="Didot" w:cs="Didot"/>
          <w:b/>
          <w:lang w:val="en-US"/>
        </w:rPr>
      </w:pPr>
      <w:r w:rsidRPr="00BB521F">
        <w:rPr>
          <w:rFonts w:ascii="Didot" w:hAnsi="Didot" w:cs="Didot"/>
          <w:b/>
          <w:lang w:val="en-US"/>
        </w:rPr>
        <w:t>Summary</w:t>
      </w:r>
    </w:p>
    <w:p w14:paraId="4DA602BD" w14:textId="51403F4E" w:rsidR="00907B3C" w:rsidRPr="00BB521F" w:rsidRDefault="00907B3C" w:rsidP="00907B3C">
      <w:pPr>
        <w:keepLines/>
        <w:jc w:val="both"/>
        <w:rPr>
          <w:rFonts w:ascii="Didot" w:hAnsi="Didot" w:cs="Didot"/>
          <w:b/>
          <w:lang w:val="en-US"/>
        </w:rPr>
      </w:pPr>
      <w:r w:rsidRPr="00BB521F">
        <w:rPr>
          <w:rFonts w:ascii="Didot" w:hAnsi="Didot" w:cs="Didot"/>
          <w:b/>
          <w:lang w:val="en-US"/>
        </w:rPr>
        <w:t>Controlling Access to Firearms</w:t>
      </w:r>
    </w:p>
    <w:p w14:paraId="74C3DBDB" w14:textId="77777777" w:rsidR="00907B3C" w:rsidRPr="00907B3C" w:rsidRDefault="00907B3C" w:rsidP="008A7E29">
      <w:pPr>
        <w:keepLines/>
        <w:spacing w:before="20" w:after="120"/>
        <w:jc w:val="both"/>
        <w:rPr>
          <w:rFonts w:ascii="Didot" w:hAnsi="Didot" w:cs="Didot"/>
          <w:sz w:val="22"/>
          <w:szCs w:val="22"/>
          <w:lang w:val="en-GB"/>
        </w:rPr>
      </w:pPr>
    </w:p>
    <w:p w14:paraId="601FDA33"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Headline tragedies such as the Sandy Hook school massacre, or the Utoya killings in Norway, draw public and policy-makers’ attention to the role of firearms in violence prevention and reduction. Too often, however, simplistic and politicized narratives (especially in the US) dominate, to the detriment of a better understanding of the role played by firearms in violence. A focus on an “assault rifle” ban, for example, obscures the role played by small arms (pistols and revolvers) in most firearms violence. Likewise, a focus on the US hinders a global perspective on different approaches to firearms regulation, and the way in which small arms are implicated in different sorts of lethal violence around the world – which includes such diverse things as conflict deaths, gang violence, intimate partner or inter-personal violence, suicide, and even lethal violence perpetrated by police and security forces.</w:t>
      </w:r>
    </w:p>
    <w:p w14:paraId="4102B3BD"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 xml:space="preserve">Firearms are one factor that helps explain the incidence of violence in any particular context, but not the only – or even sometimes not the most important – one. My presentation will focus first on the overall distribution of lethal violence </w:t>
      </w:r>
      <w:proofErr w:type="gramStart"/>
      <w:r w:rsidRPr="00907B3C">
        <w:rPr>
          <w:rFonts w:ascii="Didot" w:hAnsi="Didot" w:cs="Didot"/>
          <w:sz w:val="22"/>
          <w:szCs w:val="22"/>
          <w:lang w:val="en-GB"/>
        </w:rPr>
        <w:t>world-wide</w:t>
      </w:r>
      <w:proofErr w:type="gramEnd"/>
      <w:r w:rsidRPr="00907B3C">
        <w:rPr>
          <w:rFonts w:ascii="Didot" w:hAnsi="Didot" w:cs="Didot"/>
          <w:sz w:val="22"/>
          <w:szCs w:val="22"/>
          <w:lang w:val="en-GB"/>
        </w:rPr>
        <w:t>, then on what we know about role and distribution of firearms in lethal violence, and on the various different legislative and regulatory responses that we find around the world. I will close with some observations on what we know – and what we do not know – about the relationship between guns and violence, and how to think about this relationship. Perhaps not surprisingly, one major conclusion is that the gaps in our knowledge are greater than our knowledge itself.</w:t>
      </w:r>
    </w:p>
    <w:p w14:paraId="1FB63201"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lastRenderedPageBreak/>
        <w:t>Approximately 508,000 people die violently around the world each year (excluding suicides) – in conflict and non-conflict violence – with firearms and by other means – for an overall global “violent death rate” of 7.2 per 100,000.</w:t>
      </w:r>
      <w:r w:rsidRPr="00907B3C">
        <w:rPr>
          <w:rStyle w:val="FootnoteReference"/>
          <w:rFonts w:ascii="Didot" w:hAnsi="Didot" w:cs="Didot"/>
          <w:sz w:val="22"/>
          <w:szCs w:val="22"/>
          <w:lang w:val="en-GB"/>
        </w:rPr>
        <w:footnoteReference w:id="25"/>
      </w:r>
      <w:r w:rsidRPr="00907B3C">
        <w:rPr>
          <w:rFonts w:ascii="Didot" w:hAnsi="Didot" w:cs="Didot"/>
          <w:sz w:val="22"/>
          <w:szCs w:val="22"/>
          <w:lang w:val="en-GB"/>
        </w:rPr>
        <w:t xml:space="preserve"> These deaths are, however, very unevenly distributed: 36 countries have rates greater than 10 per 100,000</w:t>
      </w:r>
      <w:proofErr w:type="gramStart"/>
      <w:r w:rsidRPr="00907B3C">
        <w:rPr>
          <w:rFonts w:ascii="Didot" w:hAnsi="Didot" w:cs="Didot"/>
          <w:sz w:val="22"/>
          <w:szCs w:val="22"/>
          <w:lang w:val="en-GB"/>
        </w:rPr>
        <w:t>;</w:t>
      </w:r>
      <w:proofErr w:type="gramEnd"/>
      <w:r w:rsidRPr="00907B3C">
        <w:rPr>
          <w:rFonts w:ascii="Didot" w:hAnsi="Didot" w:cs="Didot"/>
          <w:sz w:val="22"/>
          <w:szCs w:val="22"/>
          <w:lang w:val="en-GB"/>
        </w:rPr>
        <w:t xml:space="preserve"> 12 greater than 30 per 100,000. Most of the most violent countries are war zones (such as Syria or Iraq), or found in Latin America and Caribbean – none of them are in Western Europe, and only a few in the developed world. Broadly speaking, advanced industrial states have very low levels of lethal violence – generally ranging between one and three deaths per 100.00 (average 2004-2009). As I will note below, however, most of the world’s firearms are in these countries, putting the lie to the simple equations of availability and violence.</w:t>
      </w:r>
    </w:p>
    <w:p w14:paraId="2BA909C3" w14:textId="77777777" w:rsidR="00B552DA" w:rsidRPr="00907B3C" w:rsidRDefault="00B552DA" w:rsidP="008A7E29">
      <w:pPr>
        <w:spacing w:before="20" w:after="120"/>
        <w:jc w:val="both"/>
        <w:rPr>
          <w:rFonts w:ascii="Didot" w:hAnsi="Didot" w:cs="Didot"/>
          <w:sz w:val="22"/>
          <w:szCs w:val="22"/>
          <w:lang w:val="en-US"/>
        </w:rPr>
      </w:pPr>
      <w:r w:rsidRPr="00907B3C">
        <w:rPr>
          <w:rFonts w:ascii="Didot" w:hAnsi="Didot" w:cs="Didot"/>
          <w:sz w:val="22"/>
          <w:szCs w:val="22"/>
          <w:lang w:val="en-US"/>
        </w:rPr>
        <w:t>Worldwide, guns account for around 46 percent of violent deaths, but this number varies tremendously from region to region. In extremely violent places such as Colombia or Guatemala, firearms are used in more than 80 of the lethal incidents. In the United States, roughly two-thirds of the lethal violence is perpetrated with firearms and in Switzerland and Italy it is about the same, with the figures for Germany, the Netherlands and Finland around 20 to 30 percent. In the UK, which has very few firearms, 6% of the deaths involve the use of guns. In Japan, which of course as we know has extraordinary strict laws and very few guns, less than 1% of the lethal violence is perpetrated with firearms. There may be little variation among developed states in their overall rates of lethal violence (one to three per 100,000), but there is much wider variation, in terms of the use of firearms, and there is no clear pattern even within this group of countries.</w:t>
      </w:r>
    </w:p>
    <w:p w14:paraId="0EE83690"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 xml:space="preserve">What do we know about the global distribution of firearms? There are approximately 875 million firearms in the world – including all of those held by armed forces, the police and security forces, armed groups and gangs, and civilians. Roughly two thirds of these small arms are in civilian hands (about 765 million), with xx in the hands of armed forces, and approximately 20 million with the policy. Most importantly, however, around 300 million of these civilian firearms are in the United States – or roughly one firearm per person. If the rest of the world </w:t>
      </w:r>
      <w:proofErr w:type="gramStart"/>
      <w:r w:rsidRPr="00907B3C">
        <w:rPr>
          <w:rFonts w:ascii="Didot" w:hAnsi="Didot" w:cs="Didot"/>
          <w:sz w:val="22"/>
          <w:szCs w:val="22"/>
          <w:lang w:val="en-GB"/>
        </w:rPr>
        <w:t>was</w:t>
      </w:r>
      <w:proofErr w:type="gramEnd"/>
      <w:r w:rsidRPr="00907B3C">
        <w:rPr>
          <w:rFonts w:ascii="Didot" w:hAnsi="Didot" w:cs="Didot"/>
          <w:sz w:val="22"/>
          <w:szCs w:val="22"/>
          <w:lang w:val="en-GB"/>
        </w:rPr>
        <w:t xml:space="preserve"> as heavily armed as American citizens – there would be closer to 7 billion firearms in circulation, not somewhere around 950 xx million. This underscores that the US is really a unique case – in all ways – and comparisons between it and any other country are often not helpful or possible.</w:t>
      </w:r>
    </w:p>
    <w:p w14:paraId="7D81F90B"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The next “most heavily armed” countries are far behind the US: Yemen, at around 55 firearms per 100 population; Switzerland and Finland around 45, followed by a cluster of northern and European states (including Sweden, Canada, Norway and Finland), all around 30 per 100. Other European states are somewhat lower – clustered around 10-20 per 100. Some countries, such as England and Wales, have very low rates of ownership, around 4 per 100. What this points to is significant variation even among Western states, of between 5-10 times (excluding the US), with the determining factors appearing to be particular history, culture, law, pattern of urbanization, or traditional hunting and sport shooting activities.</w:t>
      </w:r>
    </w:p>
    <w:p w14:paraId="7E3C06D0"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lastRenderedPageBreak/>
        <w:t>By contrast, states in the Global South, in Africa and Asia in particular, have relatively few weapons per population. Intuitively, this makes sense, since many of these are relatively poorer countries, in which a firearm would be an individual’s (or household’s) most valuable capital asset – and an unproductive one at that – unless one was engaged in criminal or predatory activities. One result is that in countries, such as in Central America, for example, where levels of lethal violence are extremely high (Guatemala, El Salvador, Honduras), levels of firearms ownership among the general civilian population are relatively low (Honduras, 13, Guatemala and El Salvador, around 7-8 per 100). The lethal violence in these societies is concentrated among particular groups of the population, mainly young men in armed groups and criminal gangs involved in drug trafficking or other illicit activities, with ready access to firearms even if they are not individually owned.</w:t>
      </w:r>
    </w:p>
    <w:p w14:paraId="5FDE6873" w14:textId="77777777" w:rsidR="00B552DA" w:rsidRPr="00907B3C" w:rsidRDefault="00B552DA" w:rsidP="008A7E29">
      <w:pPr>
        <w:keepLines/>
        <w:spacing w:before="20" w:after="120"/>
        <w:jc w:val="both"/>
        <w:rPr>
          <w:rFonts w:ascii="Didot" w:hAnsi="Didot" w:cs="Didot"/>
          <w:sz w:val="22"/>
          <w:szCs w:val="22"/>
          <w:lang w:val="en-US"/>
        </w:rPr>
      </w:pPr>
      <w:r w:rsidRPr="00907B3C">
        <w:rPr>
          <w:rFonts w:ascii="Didot" w:hAnsi="Didot" w:cs="Didot"/>
          <w:sz w:val="22"/>
          <w:szCs w:val="22"/>
          <w:lang w:val="en-GB"/>
        </w:rPr>
        <w:t xml:space="preserve">States have come up with a bewildering array of ways to regulate and legislate on firearms, and there is no easy was to rate “stronger” versus “weaker” legislation on a simple spectrum, as some states focus on banning particular types of weapons or making them hard to obtain; while others focus on particular purposes or possessors of weapons. </w:t>
      </w:r>
      <w:r w:rsidRPr="00907B3C">
        <w:rPr>
          <w:rFonts w:ascii="Didot" w:hAnsi="Didot" w:cs="Didot"/>
          <w:sz w:val="22"/>
          <w:szCs w:val="22"/>
          <w:lang w:val="en-US"/>
        </w:rPr>
        <w:t>A fundamental distinction can be made between jurisdictions that regard civilian firearm ownership as a basic right (two states (US and Yemen)) and those that treat it as a privilege (all others), and this has an impact on the nature of the controls in place.</w:t>
      </w:r>
    </w:p>
    <w:p w14:paraId="7259EC99" w14:textId="77777777" w:rsidR="00B552DA" w:rsidRPr="00907B3C" w:rsidRDefault="00B552DA" w:rsidP="008A7E29">
      <w:pPr>
        <w:keepLines/>
        <w:spacing w:before="20" w:after="120"/>
        <w:jc w:val="both"/>
        <w:rPr>
          <w:rFonts w:ascii="Didot" w:hAnsi="Didot" w:cs="Didot"/>
          <w:sz w:val="22"/>
          <w:szCs w:val="22"/>
          <w:lang w:val="en-US"/>
        </w:rPr>
      </w:pPr>
      <w:r w:rsidRPr="00907B3C">
        <w:rPr>
          <w:rFonts w:ascii="Didot" w:hAnsi="Didot" w:cs="Didot"/>
          <w:sz w:val="22"/>
          <w:szCs w:val="22"/>
          <w:lang w:val="en-US"/>
        </w:rPr>
        <w:t xml:space="preserve">Almost all states prohibit or restrict civilian access to weapons that they consider </w:t>
      </w:r>
      <w:proofErr w:type="gramStart"/>
      <w:r w:rsidRPr="00907B3C">
        <w:rPr>
          <w:rFonts w:ascii="Didot" w:hAnsi="Didot" w:cs="Didot"/>
          <w:sz w:val="22"/>
          <w:szCs w:val="22"/>
          <w:lang w:val="en-US"/>
        </w:rPr>
        <w:t>ill-suited</w:t>
      </w:r>
      <w:proofErr w:type="gramEnd"/>
      <w:r w:rsidRPr="00907B3C">
        <w:rPr>
          <w:rFonts w:ascii="Didot" w:hAnsi="Didot" w:cs="Didot"/>
          <w:sz w:val="22"/>
          <w:szCs w:val="22"/>
          <w:lang w:val="en-US"/>
        </w:rPr>
        <w:t xml:space="preserve"> to civilian use, and in almost all cases this includes automatic weapons. The vast majority of states also have a system of licensing in place to prevent certain types of civilians from owning firearms, but in making their assessments, many use considerable discretion, rather than following specific criteria. It is also clear that gun ownership and the nature and extent of regulation are often governed by cultural and historical factors. Some of the types of criteria that different jurisdictions apply when making a decision to license an individual include age requirements and whether not minors can possess firearms; mental health considerations; drug dependency; a criminal record; issues of public safety; and competency requirements. In many jurisdictions you must be a dedicated hunter or sports shooter; or a collector; or you must prove you need a firearm for professional reasons (for instance, if you are a private security guard) in order to get a license. Although some states permit the possession of firearms for self-defense, many others explicitly refuse applications for such purposes (in New Zealand, for example self-defense is explicitly not a valid reason for possessing a firearm).</w:t>
      </w:r>
    </w:p>
    <w:p w14:paraId="7ED6AE34"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It would be convenient if there were a simple link between firearms availability, legislative control, and levels of armed violence. But there is not. The most succinct conclusions that can be drawn, from Phil Cook, (based on a synthesis of American research) are that:</w:t>
      </w:r>
    </w:p>
    <w:p w14:paraId="0CE5EE37" w14:textId="77777777" w:rsidR="00B552DA" w:rsidRPr="00907B3C" w:rsidRDefault="00B552DA" w:rsidP="008A7E29">
      <w:pPr>
        <w:keepLines/>
        <w:spacing w:before="20" w:after="120"/>
        <w:ind w:left="708"/>
        <w:jc w:val="both"/>
        <w:rPr>
          <w:rFonts w:ascii="Didot" w:hAnsi="Didot" w:cs="Didot"/>
          <w:sz w:val="22"/>
          <w:szCs w:val="22"/>
          <w:lang w:val="en-GB"/>
        </w:rPr>
      </w:pPr>
      <w:proofErr w:type="gramStart"/>
      <w:r w:rsidRPr="00907B3C">
        <w:rPr>
          <w:rFonts w:ascii="Didot" w:hAnsi="Didot" w:cs="Didot"/>
          <w:sz w:val="22"/>
          <w:szCs w:val="22"/>
          <w:lang w:val="en-GB"/>
        </w:rPr>
        <w:t>the</w:t>
      </w:r>
      <w:proofErr w:type="gramEnd"/>
      <w:r w:rsidRPr="00907B3C">
        <w:rPr>
          <w:rFonts w:ascii="Didot" w:hAnsi="Didot" w:cs="Didot"/>
          <w:sz w:val="22"/>
          <w:szCs w:val="22"/>
          <w:lang w:val="en-GB"/>
        </w:rPr>
        <w:t xml:space="preserve"> prevalence of gun ownership in a community has a direct effect on weapon choice by robbers and assailants—more guns, more gun use in crime. The prevalence of gun ownership has little or no effect on the overall volume of violent crime—more guns, same amount of violence. But the lethality of that violence depends on the mix of weapons—more guns, more murders</w:t>
      </w:r>
      <w:r w:rsidRPr="00907B3C">
        <w:rPr>
          <w:rStyle w:val="FootnoteReference"/>
          <w:rFonts w:ascii="Didot" w:hAnsi="Didot" w:cs="Didot"/>
          <w:sz w:val="22"/>
          <w:szCs w:val="22"/>
          <w:lang w:val="en-GB"/>
        </w:rPr>
        <w:footnoteReference w:id="26"/>
      </w:r>
    </w:p>
    <w:p w14:paraId="6BF0680E"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lastRenderedPageBreak/>
        <w:t xml:space="preserve">In this light, what can be said about effective violence prevention and reduction strategies? Perhaps the most significant issue is </w:t>
      </w:r>
      <w:r w:rsidRPr="00907B3C">
        <w:rPr>
          <w:rFonts w:ascii="Didot" w:hAnsi="Didot" w:cs="Didot"/>
          <w:i/>
          <w:sz w:val="22"/>
          <w:szCs w:val="22"/>
          <w:lang w:val="en-GB"/>
        </w:rPr>
        <w:t>how</w:t>
      </w:r>
      <w:r w:rsidRPr="00907B3C">
        <w:rPr>
          <w:rFonts w:ascii="Didot" w:hAnsi="Didot" w:cs="Didot"/>
          <w:sz w:val="22"/>
          <w:szCs w:val="22"/>
          <w:lang w:val="en-GB"/>
        </w:rPr>
        <w:t xml:space="preserve"> we think about violence reduction policies. Many policies rely on embedded assumptions about (linear) causal mechanisms, and reductionist approaches to human behaviour; few are appropriate to the complex social environments in which violence occurs, and to the effect of structures (institutional and normative) on behaviour. Until we bring these into the picture, it will be very difficult to craft policy that can achieve the headline goal of a “sustained reduction in interpersonal and political violence across the world over the coming three decades.”</w:t>
      </w:r>
    </w:p>
    <w:p w14:paraId="00D4C425"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Although there is no simple link between the availability of firearms and levels of gun violence, it would be a mistake to conclude that the availability of firearms – of what sort, in whose hands, and under what conditions – is completely irrelevant to levels of violence and insecurity. Armed violence is concentrated among particular groups in the population, and follows particular pathways linked to factors such as drug trafficking, armed gangs, conflict, inequality, and organized crime. The same is probably true for any complex social issue in which many factors are at play, such as alcohol availability and automobile accidents, or illicit drug availability and levels of substance abuse.</w:t>
      </w:r>
    </w:p>
    <w:p w14:paraId="7D757802" w14:textId="77777777" w:rsidR="00B552DA" w:rsidRPr="00907B3C" w:rsidRDefault="00B552DA" w:rsidP="008A7E29">
      <w:pPr>
        <w:keepLines/>
        <w:spacing w:before="20" w:after="120"/>
        <w:jc w:val="both"/>
        <w:rPr>
          <w:rFonts w:ascii="Didot" w:hAnsi="Didot" w:cs="Didot"/>
          <w:sz w:val="22"/>
          <w:szCs w:val="22"/>
          <w:lang w:val="en-GB"/>
        </w:rPr>
      </w:pPr>
      <w:r w:rsidRPr="00907B3C">
        <w:rPr>
          <w:rFonts w:ascii="Didot" w:hAnsi="Didot" w:cs="Didot"/>
          <w:sz w:val="22"/>
          <w:szCs w:val="22"/>
          <w:lang w:val="en-GB"/>
        </w:rPr>
        <w:t xml:space="preserve">It is difficult to follow the pathways of gun violence directly, but indirect evidence – such as the geography of gun violence – is indicative. In countries such as Mexico and Guatemala, lethal violence is concentrated in border areas where trafficking is widespread, in particular zones in main cities, and along smuggling routes. In Brazil, violence in port cities and favelas, also linked to drugs and gangs, is also higher than elsewhere, and firearms violence is linked to other things such as drug trafficking, gangs, alcohol abuse, systematic racism, and inequality. </w:t>
      </w:r>
      <w:proofErr w:type="gramStart"/>
      <w:r w:rsidRPr="00907B3C">
        <w:rPr>
          <w:rFonts w:ascii="Didot" w:hAnsi="Didot" w:cs="Didot"/>
          <w:sz w:val="22"/>
          <w:szCs w:val="22"/>
          <w:lang w:val="en-GB"/>
        </w:rPr>
        <w:t>A social network map of a Boston immigrant community that tracked gunshot victims (injured or killed), noted that the likelihood of being shot dropped by 25 percent with each “step” away from a victim node.</w:t>
      </w:r>
      <w:proofErr w:type="gramEnd"/>
      <w:r w:rsidRPr="00907B3C">
        <w:rPr>
          <w:rFonts w:ascii="Didot" w:hAnsi="Didot" w:cs="Didot"/>
          <w:sz w:val="22"/>
          <w:szCs w:val="22"/>
          <w:lang w:val="en-GB"/>
        </w:rPr>
        <w:t xml:space="preserve"> Given that the difference between victims and perpetrators is often “who shot first,” this case illustrates that firearms violence is often, at least in gang and crime-related violence, linked to broader “social networks,” and does not spread epidemic-like throughout society.</w:t>
      </w:r>
      <w:r w:rsidRPr="00907B3C">
        <w:rPr>
          <w:rStyle w:val="FootnoteReference"/>
          <w:rFonts w:ascii="Didot" w:hAnsi="Didot" w:cs="Didot"/>
          <w:sz w:val="22"/>
          <w:szCs w:val="22"/>
          <w:lang w:val="en-GB"/>
        </w:rPr>
        <w:footnoteReference w:id="27"/>
      </w:r>
      <w:r w:rsidRPr="00907B3C">
        <w:rPr>
          <w:rFonts w:ascii="Didot" w:hAnsi="Didot" w:cs="Didot"/>
          <w:sz w:val="22"/>
          <w:szCs w:val="22"/>
          <w:lang w:val="en-GB"/>
        </w:rPr>
        <w:t xml:space="preserve"> It must therefore be tackled with policies that address networks (one of the features of city-based projects such as the Boston’s Operation Ceasefire).</w:t>
      </w:r>
    </w:p>
    <w:p w14:paraId="1E89EA41" w14:textId="77777777" w:rsidR="00B552DA" w:rsidRPr="00907B3C" w:rsidRDefault="00B552DA" w:rsidP="008A7E29">
      <w:pPr>
        <w:keepLines/>
        <w:spacing w:after="120"/>
        <w:jc w:val="both"/>
        <w:rPr>
          <w:rFonts w:ascii="Didot" w:hAnsi="Didot" w:cs="Didot"/>
          <w:sz w:val="22"/>
          <w:szCs w:val="22"/>
          <w:lang w:val="en-GB"/>
        </w:rPr>
      </w:pPr>
      <w:r w:rsidRPr="00907B3C">
        <w:rPr>
          <w:rFonts w:ascii="Didot" w:hAnsi="Didot" w:cs="Didot"/>
          <w:sz w:val="22"/>
          <w:szCs w:val="22"/>
          <w:lang w:val="en-GB"/>
        </w:rPr>
        <w:t>Other forms of firearms violence are equally complex to untangle. With respect to intimate partner violence, it is clear – at least in the US – that</w:t>
      </w:r>
      <w:r w:rsidRPr="00907B3C">
        <w:rPr>
          <w:rFonts w:ascii="Didot" w:hAnsi="Didot" w:cs="Didot"/>
          <w:b/>
          <w:sz w:val="22"/>
          <w:szCs w:val="22"/>
          <w:lang w:val="en-GB"/>
        </w:rPr>
        <w:t xml:space="preserve"> </w:t>
      </w:r>
      <w:r w:rsidRPr="00907B3C">
        <w:rPr>
          <w:rFonts w:ascii="Didot" w:hAnsi="Didot" w:cs="Didot"/>
          <w:sz w:val="22"/>
          <w:szCs w:val="22"/>
          <w:lang w:val="en-GB"/>
        </w:rPr>
        <w:t>firearms in the home are “</w:t>
      </w:r>
      <w:r w:rsidRPr="00907B3C">
        <w:rPr>
          <w:rFonts w:ascii="Didot" w:hAnsi="Didot" w:cs="Didot"/>
          <w:iCs/>
          <w:sz w:val="22"/>
          <w:szCs w:val="22"/>
          <w:lang w:val="en-GB"/>
        </w:rPr>
        <w:t>a risk factor for intimidation and for killing women in their homes, and it appears that a gun in the home may more likely be used to threaten intimates than to protect against intruders.”</w:t>
      </w:r>
      <w:r w:rsidRPr="00907B3C">
        <w:rPr>
          <w:rStyle w:val="FootnoteReference"/>
          <w:rFonts w:ascii="Didot" w:hAnsi="Didot" w:cs="Didot"/>
          <w:i/>
          <w:iCs/>
          <w:sz w:val="22"/>
          <w:szCs w:val="22"/>
          <w:lang w:val="en-GB"/>
        </w:rPr>
        <w:footnoteReference w:id="28"/>
      </w:r>
      <w:r w:rsidRPr="00907B3C">
        <w:rPr>
          <w:rFonts w:ascii="Didot" w:hAnsi="Didot" w:cs="Didot"/>
          <w:iCs/>
          <w:sz w:val="22"/>
          <w:szCs w:val="22"/>
          <w:lang w:val="en-GB"/>
        </w:rPr>
        <w:t xml:space="preserve"> On average, however, women are killed by means other than firearms much more frequently than men. So if</w:t>
      </w:r>
      <w:r w:rsidRPr="00907B3C">
        <w:rPr>
          <w:rFonts w:ascii="Didot" w:hAnsi="Didot" w:cs="Didot"/>
          <w:sz w:val="22"/>
          <w:szCs w:val="22"/>
          <w:lang w:val="en-GB"/>
        </w:rPr>
        <w:t xml:space="preserve"> a country’s percentage of homicides with firearms is, for example, 60 percent, then roughly 30 percent of violent deaths of women are likely to be caused by firearms. Likewise, the homicide rate for African American women was nearly 2.5 times higher than for white women, although roughly similar proportions of black and white women were killed by an intimate partner and with a gun, which speaks to other factors involved in intimate partner violence.</w:t>
      </w:r>
    </w:p>
    <w:p w14:paraId="2BEC727E" w14:textId="77777777" w:rsidR="00B552DA" w:rsidRPr="00907B3C" w:rsidRDefault="00B552DA" w:rsidP="008A7E29">
      <w:pPr>
        <w:keepLines/>
        <w:spacing w:after="120"/>
        <w:jc w:val="both"/>
        <w:rPr>
          <w:rFonts w:ascii="Didot" w:hAnsi="Didot" w:cs="Didot"/>
          <w:sz w:val="22"/>
          <w:szCs w:val="22"/>
          <w:lang w:val="en-US"/>
        </w:rPr>
      </w:pPr>
      <w:r w:rsidRPr="00907B3C">
        <w:rPr>
          <w:rFonts w:ascii="Didot" w:hAnsi="Didot" w:cs="Didot"/>
          <w:sz w:val="22"/>
          <w:szCs w:val="22"/>
          <w:lang w:val="en-US"/>
        </w:rPr>
        <w:lastRenderedPageBreak/>
        <w:t>The big take away – for national and global public policy initiatives to regulate small arms availability and misuse – is that one needs a sophisticated and targeted approach to arm</w:t>
      </w:r>
      <w:r w:rsidR="00526673" w:rsidRPr="00907B3C">
        <w:rPr>
          <w:rFonts w:ascii="Didot" w:hAnsi="Didot" w:cs="Didot"/>
          <w:sz w:val="22"/>
          <w:szCs w:val="22"/>
          <w:lang w:val="en-US"/>
        </w:rPr>
        <w:t xml:space="preserve">ed violence, identifying who is </w:t>
      </w:r>
      <w:r w:rsidRPr="00907B3C">
        <w:rPr>
          <w:rFonts w:ascii="Didot" w:hAnsi="Didot" w:cs="Didot"/>
          <w:sz w:val="22"/>
          <w:szCs w:val="22"/>
          <w:lang w:val="en-US"/>
        </w:rPr>
        <w:t>vulnerable, under what conditions, by what means, and to what forms of lethal violence. Good research and evidence is indispensable to the development of sound policies.</w:t>
      </w:r>
    </w:p>
    <w:p w14:paraId="28F10C10" w14:textId="77777777" w:rsidR="00160E26" w:rsidRPr="00907B3C" w:rsidRDefault="00160E26" w:rsidP="008A7E29">
      <w:pPr>
        <w:keepLines/>
        <w:spacing w:after="120"/>
        <w:jc w:val="both"/>
        <w:rPr>
          <w:rFonts w:ascii="Didot" w:hAnsi="Didot" w:cs="Didot"/>
          <w:sz w:val="22"/>
          <w:szCs w:val="22"/>
          <w:lang w:val="en-US"/>
        </w:rPr>
        <w:sectPr w:rsidR="00160E26" w:rsidRPr="00907B3C" w:rsidSect="00160E26">
          <w:type w:val="continuous"/>
          <w:pgSz w:w="11900" w:h="16840"/>
          <w:pgMar w:top="1440" w:right="1800" w:bottom="1440" w:left="1800" w:header="708" w:footer="708" w:gutter="0"/>
          <w:cols w:space="708"/>
          <w:docGrid w:linePitch="360"/>
        </w:sectPr>
      </w:pPr>
    </w:p>
    <w:p w14:paraId="426895CF" w14:textId="410EC7A9" w:rsidR="00526673" w:rsidRPr="006916FC" w:rsidRDefault="00900655" w:rsidP="008A7E29">
      <w:pPr>
        <w:pStyle w:val="Heading1"/>
        <w:rPr>
          <w:sz w:val="34"/>
          <w:szCs w:val="34"/>
        </w:rPr>
      </w:pPr>
      <w:r w:rsidRPr="006916FC">
        <w:lastRenderedPageBreak/>
        <w:br w:type="column"/>
      </w:r>
      <w:bookmarkStart w:id="114" w:name="_Toc272639937"/>
      <w:bookmarkStart w:id="115" w:name="_Toc272645060"/>
      <w:r w:rsidR="004B1CB5">
        <w:lastRenderedPageBreak/>
        <w:br w:type="column"/>
      </w:r>
      <w:r w:rsidR="00526673" w:rsidRPr="006916FC">
        <w:rPr>
          <w:sz w:val="34"/>
          <w:szCs w:val="34"/>
        </w:rPr>
        <w:lastRenderedPageBreak/>
        <w:t>Session 11</w:t>
      </w:r>
      <w:bookmarkEnd w:id="114"/>
      <w:bookmarkEnd w:id="115"/>
      <w:r w:rsidR="00526673" w:rsidRPr="006916FC">
        <w:rPr>
          <w:sz w:val="34"/>
          <w:szCs w:val="34"/>
        </w:rPr>
        <w:t xml:space="preserve"> </w:t>
      </w:r>
    </w:p>
    <w:p w14:paraId="0EFBAD74" w14:textId="77777777" w:rsidR="00900655" w:rsidRPr="006916FC" w:rsidRDefault="00900655" w:rsidP="008A7E29">
      <w:pPr>
        <w:widowControl w:val="0"/>
        <w:pBdr>
          <w:bottom w:val="single" w:sz="6" w:space="1" w:color="auto"/>
        </w:pBdr>
        <w:autoSpaceDE w:val="0"/>
        <w:autoSpaceDN w:val="0"/>
        <w:adjustRightInd w:val="0"/>
        <w:spacing w:after="200"/>
        <w:jc w:val="both"/>
        <w:rPr>
          <w:rFonts w:ascii="Didot" w:hAnsi="Didot" w:cs="Didot"/>
          <w:b/>
          <w:color w:val="121212"/>
          <w:sz w:val="34"/>
          <w:szCs w:val="34"/>
          <w:lang w:val="en-US"/>
        </w:rPr>
      </w:pPr>
    </w:p>
    <w:p w14:paraId="4147F16D" w14:textId="77777777" w:rsidR="00362AAD" w:rsidRPr="006916FC" w:rsidRDefault="00362AAD" w:rsidP="008A7E29">
      <w:pPr>
        <w:pStyle w:val="Heading1"/>
      </w:pPr>
      <w:bookmarkStart w:id="116" w:name="_Toc272639938"/>
      <w:bookmarkStart w:id="117" w:name="_Toc272645061"/>
      <w:r w:rsidRPr="006916FC">
        <w:t>Reforming Police Forces and Making Them Better Serve Their People</w:t>
      </w:r>
      <w:bookmarkEnd w:id="116"/>
      <w:bookmarkEnd w:id="117"/>
    </w:p>
    <w:p w14:paraId="6839F655" w14:textId="77777777" w:rsidR="00900655" w:rsidRPr="006916FC" w:rsidRDefault="00900655" w:rsidP="008A7E29">
      <w:pPr>
        <w:widowControl w:val="0"/>
        <w:autoSpaceDE w:val="0"/>
        <w:autoSpaceDN w:val="0"/>
        <w:adjustRightInd w:val="0"/>
        <w:spacing w:after="240"/>
        <w:jc w:val="both"/>
        <w:rPr>
          <w:rFonts w:ascii="Didot" w:hAnsi="Didot" w:cs="Didot"/>
          <w:b/>
          <w:bCs/>
          <w:color w:val="121212"/>
          <w:lang w:val="en-US"/>
        </w:rPr>
      </w:pPr>
    </w:p>
    <w:p w14:paraId="0005CA87" w14:textId="77777777" w:rsidR="00362AAD" w:rsidRPr="006916FC" w:rsidRDefault="00362AAD" w:rsidP="008A7E29">
      <w:pPr>
        <w:widowControl w:val="0"/>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Peter Neyroud - University of Cambridge, Affiliated Lecturer at the Institute of Criminology</w:t>
      </w:r>
    </w:p>
    <w:p w14:paraId="79374E0B" w14:textId="77777777" w:rsidR="00216034" w:rsidRPr="006916FC" w:rsidRDefault="00216034"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p>
    <w:p w14:paraId="59B9F442" w14:textId="77777777" w:rsidR="00343493" w:rsidRPr="00F47702" w:rsidRDefault="00362AAD"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r w:rsidRPr="00F47702">
        <w:rPr>
          <w:rFonts w:ascii="Didot" w:hAnsi="Didot" w:cs="Didot"/>
          <w:color w:val="121212"/>
          <w:sz w:val="22"/>
          <w:szCs w:val="22"/>
          <w:lang w:val="en-US"/>
        </w:rPr>
        <w:t>Especially in societies with high levels of crime and violence police forces across the world are frequently insufficiently trained, unable to effectively enforce the law, and exposed to corruption. As a result they often lack the support of the populations they are meant to serve.  However, an effective, accountable and legitimate police force is an essential component of violence reductions strategies. In this session three experts in police research discuss strategies that can help to make police forces more accountable and that can improve police effectiveness.</w:t>
      </w:r>
    </w:p>
    <w:p w14:paraId="4DDC5DC5" w14:textId="77777777" w:rsidR="00216034" w:rsidRPr="006916FC" w:rsidRDefault="00216034"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p>
    <w:p w14:paraId="1A062795" w14:textId="77777777" w:rsidR="00362AAD" w:rsidRPr="006916FC" w:rsidRDefault="00362AAD" w:rsidP="008A7E29">
      <w:pPr>
        <w:widowControl w:val="0"/>
        <w:autoSpaceDE w:val="0"/>
        <w:autoSpaceDN w:val="0"/>
        <w:adjustRightInd w:val="0"/>
        <w:spacing w:after="200"/>
        <w:jc w:val="both"/>
        <w:rPr>
          <w:rFonts w:ascii="Didot" w:hAnsi="Didot" w:cs="Didot"/>
          <w:color w:val="121212"/>
          <w:lang w:val="en-US"/>
        </w:rPr>
      </w:pPr>
    </w:p>
    <w:p w14:paraId="792950DF" w14:textId="77777777" w:rsidR="00362AAD" w:rsidRPr="006916FC" w:rsidRDefault="00362AAD" w:rsidP="008A7E29">
      <w:pPr>
        <w:pStyle w:val="Heading2"/>
        <w:jc w:val="both"/>
        <w:rPr>
          <w:rFonts w:ascii="Didot" w:hAnsi="Didot" w:cs="Didot"/>
          <w:color w:val="auto"/>
          <w:sz w:val="34"/>
          <w:szCs w:val="34"/>
        </w:rPr>
      </w:pPr>
      <w:bookmarkStart w:id="118" w:name="_Toc272639939"/>
      <w:bookmarkStart w:id="119" w:name="_Toc272645062"/>
      <w:r w:rsidRPr="006916FC">
        <w:rPr>
          <w:rFonts w:ascii="Didot" w:hAnsi="Didot" w:cs="Didot"/>
          <w:color w:val="auto"/>
          <w:sz w:val="34"/>
          <w:szCs w:val="34"/>
        </w:rPr>
        <w:t>Etannibi Alemika</w:t>
      </w:r>
      <w:bookmarkEnd w:id="118"/>
      <w:bookmarkEnd w:id="119"/>
    </w:p>
    <w:p w14:paraId="59168DCF"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411081BC" w14:textId="77777777" w:rsidR="00362AAD" w:rsidRPr="006916FC" w:rsidRDefault="00362AAD"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314DD38D" w14:textId="77777777" w:rsidR="00362AAD" w:rsidRPr="00F47702" w:rsidRDefault="00362A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Etannibi E. O. Alemika obtained B.Sc. and M.Sc. Sociology from the University of Ibadan (Nigeria) and M.S. and Ph.D. Criminology from the University of Pennsylvania in Philadelphia (USA). He is currently a Professor of Criminology and Sociology of Law at the University of Jos, in Nigeria. His areas of research include policing, organised crime, security sector reform, conflict studies, and penal administration. He is a member of the editorial board of several international journals, including Police Practice and Research</w:t>
      </w:r>
      <w:proofErr w:type="gramStart"/>
      <w:r w:rsidRPr="00F47702">
        <w:rPr>
          <w:rFonts w:ascii="Didot" w:hAnsi="Didot" w:cs="Didot"/>
          <w:color w:val="121212"/>
          <w:sz w:val="22"/>
          <w:szCs w:val="22"/>
          <w:lang w:val="en-US"/>
        </w:rPr>
        <w:t>;</w:t>
      </w:r>
      <w:proofErr w:type="gramEnd"/>
      <w:r w:rsidRPr="00F47702">
        <w:rPr>
          <w:rFonts w:ascii="Didot" w:hAnsi="Didot" w:cs="Didot"/>
          <w:color w:val="121212"/>
          <w:sz w:val="22"/>
          <w:szCs w:val="22"/>
          <w:lang w:val="en-US"/>
        </w:rPr>
        <w:t xml:space="preserve"> Stability: International Journal of Security &amp; Development, and the Australia and New Zealand Journal of Criminology. His recent publications include Alemika, EEO. 2013. Organized and Transnational Crime in West Africa, in Heinrich-Boll-Stiftung and Regine Schonenberg (eds.) Transnational Organized Crime: Analyses of a Global Challenge to Democracy. Bielefeld: Transcript Verlag; Alemika, EEO. 2013. </w:t>
      </w:r>
      <w:r w:rsidRPr="00F47702">
        <w:rPr>
          <w:rFonts w:ascii="Didot" w:hAnsi="Didot" w:cs="Didot"/>
          <w:color w:val="121212"/>
          <w:sz w:val="22"/>
          <w:szCs w:val="22"/>
          <w:lang w:val="en-US"/>
        </w:rPr>
        <w:lastRenderedPageBreak/>
        <w:t xml:space="preserve">Organised Crime and Governance in West Africa, in EEO Alemika (Ed.); </w:t>
      </w:r>
      <w:proofErr w:type="gramStart"/>
      <w:r w:rsidRPr="00F47702">
        <w:rPr>
          <w:rFonts w:ascii="Didot" w:hAnsi="Didot" w:cs="Didot"/>
          <w:color w:val="121212"/>
          <w:sz w:val="22"/>
          <w:szCs w:val="22"/>
          <w:lang w:val="en-US"/>
        </w:rPr>
        <w:t>The</w:t>
      </w:r>
      <w:proofErr w:type="gramEnd"/>
      <w:r w:rsidRPr="00F47702">
        <w:rPr>
          <w:rFonts w:ascii="Didot" w:hAnsi="Didot" w:cs="Didot"/>
          <w:color w:val="121212"/>
          <w:sz w:val="22"/>
          <w:szCs w:val="22"/>
          <w:lang w:val="en-US"/>
        </w:rPr>
        <w:t xml:space="preserve"> impact of organized crime on governance in West Africa. Abuja: Friedrich Ebert Stiftung, pp. 16-34, and Alemika, EEO. 2013. Criminal victimization, Policing and Governance in Nigeria. Lagos &amp; Abuja: CLEEN Foundation), and Police Practice and Police Research in Africa, Police Practice and Research, 2009: 483–502. Prof. Alemika was a member of Nigeria's Presidential Committee on Police Reform (2006); Chairman of the Presidential Committee on Prisons Reform (2005/2006); Member, Committee for the Restructuring of Fire Services in Nigeria (2012). He is a member of several professional associations, including Social Science Academy of Nigeria; Nigerian Society of Criminology; Academy of Criminal Justice Science (USA); American Society of Criminology; Altus Global Alliance and the African Policing Civilian Oversight Forum and the Global Initiative Against Transnational Organized Crime.</w:t>
      </w:r>
    </w:p>
    <w:p w14:paraId="11B9A24A"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1993B119" w14:textId="77777777" w:rsidR="00216034" w:rsidRPr="006916FC" w:rsidRDefault="00216034" w:rsidP="008A7E29">
      <w:pPr>
        <w:widowControl w:val="0"/>
        <w:autoSpaceDE w:val="0"/>
        <w:autoSpaceDN w:val="0"/>
        <w:adjustRightInd w:val="0"/>
        <w:spacing w:after="240"/>
        <w:jc w:val="both"/>
        <w:rPr>
          <w:rFonts w:ascii="Didot" w:hAnsi="Didot" w:cs="Didot"/>
          <w:color w:val="121212"/>
          <w:sz w:val="22"/>
          <w:szCs w:val="22"/>
          <w:lang w:val="en-US"/>
        </w:rPr>
      </w:pPr>
    </w:p>
    <w:p w14:paraId="51FDD91C" w14:textId="77777777" w:rsidR="00B552DA" w:rsidRPr="006916FC" w:rsidRDefault="00B552DA" w:rsidP="008A7E29">
      <w:pPr>
        <w:jc w:val="both"/>
        <w:rPr>
          <w:rFonts w:ascii="Didot" w:eastAsia="Times New Roman" w:hAnsi="Didot" w:cs="Didot"/>
          <w:b/>
        </w:rPr>
      </w:pPr>
      <w:r w:rsidRPr="006916FC">
        <w:rPr>
          <w:rFonts w:ascii="Didot" w:eastAsia="Times New Roman" w:hAnsi="Didot" w:cs="Didot"/>
          <w:b/>
        </w:rPr>
        <w:t>Abstract</w:t>
      </w:r>
    </w:p>
    <w:p w14:paraId="12AC07C1" w14:textId="77777777" w:rsidR="00900655" w:rsidRPr="006916FC" w:rsidRDefault="00900655" w:rsidP="008A7E29">
      <w:pPr>
        <w:jc w:val="both"/>
        <w:rPr>
          <w:rFonts w:ascii="Didot" w:eastAsia="Times New Roman" w:hAnsi="Didot" w:cs="Didot"/>
          <w:b/>
          <w:i/>
        </w:rPr>
      </w:pPr>
    </w:p>
    <w:p w14:paraId="127ED686" w14:textId="77777777" w:rsidR="00B552DA" w:rsidRPr="006916FC" w:rsidRDefault="00B552DA" w:rsidP="008A7E29">
      <w:pPr>
        <w:jc w:val="both"/>
        <w:rPr>
          <w:rFonts w:ascii="Didot" w:eastAsia="Times New Roman" w:hAnsi="Didot" w:cs="Didot"/>
          <w:b/>
        </w:rPr>
      </w:pPr>
      <w:r w:rsidRPr="006916FC">
        <w:rPr>
          <w:rFonts w:ascii="Didot" w:eastAsia="Times New Roman" w:hAnsi="Didot" w:cs="Didot"/>
          <w:b/>
        </w:rPr>
        <w:t>Police Effectiveness, Accountability and Violence in Nigeria</w:t>
      </w:r>
    </w:p>
    <w:p w14:paraId="26F893DF" w14:textId="77777777" w:rsidR="00B552DA" w:rsidRPr="006916FC" w:rsidRDefault="00B552DA" w:rsidP="008A7E29">
      <w:pPr>
        <w:jc w:val="both"/>
        <w:rPr>
          <w:rFonts w:ascii="Didot" w:eastAsia="Times New Roman" w:hAnsi="Didot" w:cs="Didot"/>
          <w:b/>
          <w:i/>
        </w:rPr>
      </w:pPr>
    </w:p>
    <w:p w14:paraId="294D868A" w14:textId="77777777" w:rsidR="00B552DA" w:rsidRPr="00F47702" w:rsidRDefault="00B552DA" w:rsidP="008A7E29">
      <w:pPr>
        <w:jc w:val="both"/>
        <w:rPr>
          <w:rFonts w:ascii="Didot" w:eastAsia="MS Mincho" w:hAnsi="Didot" w:cs="Didot"/>
          <w:sz w:val="22"/>
          <w:szCs w:val="22"/>
          <w:lang w:eastAsia="ja-JP"/>
        </w:rPr>
      </w:pPr>
      <w:r w:rsidRPr="00F47702">
        <w:rPr>
          <w:rFonts w:ascii="Didot" w:eastAsia="MS Mincho" w:hAnsi="Didot" w:cs="Didot"/>
          <w:sz w:val="22"/>
          <w:szCs w:val="22"/>
          <w:lang w:eastAsia="ja-JP"/>
        </w:rPr>
        <w:t xml:space="preserve">Nigeria is currently witnessing unprecedented level of ethno-religious violence; violent crimes, and terrorist attacks by insurgent groups since its existence. The civil war (1967-1970) did not generate as much discontent among diverse groups in the country. The capacity of the country to contain the growing violence is weak. The deployment of the military for civil policing has exposed the ineffectiveness of the Nigeria Police Force and led to the militarisation of civil life, which is inimical to the consolidation of the country’s democratic transition. </w:t>
      </w:r>
    </w:p>
    <w:p w14:paraId="1E2F1C46" w14:textId="77777777" w:rsidR="00B552DA" w:rsidRPr="00F47702" w:rsidRDefault="00B552DA" w:rsidP="008A7E29">
      <w:pPr>
        <w:jc w:val="both"/>
        <w:rPr>
          <w:rFonts w:ascii="Didot" w:eastAsia="MS Mincho" w:hAnsi="Didot" w:cs="Didot"/>
          <w:sz w:val="22"/>
          <w:szCs w:val="22"/>
          <w:lang w:val="en-US" w:eastAsia="ja-JP"/>
        </w:rPr>
      </w:pPr>
    </w:p>
    <w:p w14:paraId="105C6F7E" w14:textId="77777777" w:rsidR="00B552DA" w:rsidRPr="00F47702" w:rsidRDefault="00B552DA" w:rsidP="008A7E29">
      <w:pPr>
        <w:pBdr>
          <w:bottom w:val="single" w:sz="6" w:space="1" w:color="auto"/>
        </w:pBdr>
        <w:jc w:val="both"/>
        <w:rPr>
          <w:rFonts w:ascii="Didot" w:eastAsia="MS Mincho" w:hAnsi="Didot" w:cs="Didot"/>
          <w:sz w:val="22"/>
          <w:szCs w:val="22"/>
          <w:lang w:val="en-US" w:eastAsia="ja-JP"/>
        </w:rPr>
      </w:pPr>
      <w:r w:rsidRPr="00F47702">
        <w:rPr>
          <w:rFonts w:ascii="Didot" w:eastAsia="MS Mincho" w:hAnsi="Didot" w:cs="Didot"/>
          <w:sz w:val="22"/>
          <w:szCs w:val="22"/>
          <w:lang w:val="en-US" w:eastAsia="ja-JP"/>
        </w:rPr>
        <w:t xml:space="preserve">The common forms of collective and inter-personal violence frequently experienced in the country are violent inter-ethnic and inter-religious conflicts; intra-and inter-communal violence; armed robbery, kidnapping, assassination (motivated by political and economic competition, and ransom money); gender-related violence; ritual killing and mutilation; ethno-religious militia and terrorist violence, extra-judicial killing and brutality by security personnel, and violent attack against security officials. The Nigeria Police Force has generally been ineffective in preventing and controlling these forms of violence due to lack of capacity in the core policing functions of intelligence, investigation, apprehension and prosecution of suspects. In this presentation, we examine the factors that undermine the effectiveness and accountability of the Nigeria Police Force and offer recommendations for the reform of the Force. </w:t>
      </w:r>
    </w:p>
    <w:p w14:paraId="452DE1E1" w14:textId="77777777" w:rsidR="00216034" w:rsidRPr="006916FC" w:rsidRDefault="00216034" w:rsidP="008A7E29">
      <w:pPr>
        <w:pBdr>
          <w:bottom w:val="single" w:sz="6" w:space="1" w:color="auto"/>
        </w:pBdr>
        <w:jc w:val="both"/>
        <w:rPr>
          <w:rFonts w:ascii="Didot" w:eastAsia="MS Mincho" w:hAnsi="Didot" w:cs="Didot"/>
          <w:sz w:val="22"/>
          <w:szCs w:val="22"/>
          <w:lang w:val="en-US" w:eastAsia="ja-JP"/>
        </w:rPr>
      </w:pPr>
    </w:p>
    <w:p w14:paraId="0C3F5BEB" w14:textId="77777777" w:rsidR="00216034" w:rsidRPr="006916FC" w:rsidRDefault="00216034" w:rsidP="008A7E29">
      <w:pPr>
        <w:jc w:val="both"/>
        <w:rPr>
          <w:rFonts w:ascii="Didot" w:eastAsia="MS Mincho" w:hAnsi="Didot" w:cs="Didot"/>
          <w:sz w:val="22"/>
          <w:szCs w:val="22"/>
          <w:lang w:val="en-US" w:eastAsia="ja-JP"/>
        </w:rPr>
      </w:pPr>
    </w:p>
    <w:p w14:paraId="75B5FE6A" w14:textId="09A89993" w:rsidR="00B552DA" w:rsidRPr="006916FC" w:rsidRDefault="00900655" w:rsidP="008A7E29">
      <w:pPr>
        <w:jc w:val="both"/>
        <w:rPr>
          <w:rFonts w:ascii="Didot" w:eastAsia="Times New Roman" w:hAnsi="Didot" w:cs="Didot"/>
          <w:b/>
        </w:rPr>
      </w:pPr>
      <w:r w:rsidRPr="006916FC">
        <w:rPr>
          <w:rFonts w:ascii="Didot" w:eastAsia="Times New Roman" w:hAnsi="Didot" w:cs="Didot"/>
          <w:b/>
        </w:rPr>
        <w:t>Summary</w:t>
      </w:r>
    </w:p>
    <w:p w14:paraId="611AB4C0" w14:textId="77777777" w:rsidR="00B86B1F" w:rsidRPr="006916FC" w:rsidRDefault="00B86B1F" w:rsidP="008A7E29">
      <w:pPr>
        <w:jc w:val="both"/>
        <w:rPr>
          <w:rFonts w:ascii="Didot" w:eastAsia="Times New Roman" w:hAnsi="Didot" w:cs="Didot"/>
          <w:b/>
        </w:rPr>
      </w:pPr>
    </w:p>
    <w:p w14:paraId="589502B0" w14:textId="5BD6E2BE" w:rsidR="00B86B1F" w:rsidRPr="006916FC" w:rsidRDefault="00B86B1F" w:rsidP="008A7E29">
      <w:pPr>
        <w:jc w:val="both"/>
        <w:rPr>
          <w:rFonts w:ascii="Didot" w:eastAsia="Times New Roman" w:hAnsi="Didot" w:cs="Didot"/>
          <w:b/>
        </w:rPr>
      </w:pPr>
      <w:r w:rsidRPr="006916FC">
        <w:rPr>
          <w:rFonts w:ascii="Didot" w:eastAsia="Times New Roman" w:hAnsi="Didot" w:cs="Didot"/>
          <w:b/>
        </w:rPr>
        <w:t>Police Effectiveness, Accountability and Violence in Nigeria</w:t>
      </w:r>
    </w:p>
    <w:p w14:paraId="6CB227AA" w14:textId="77777777" w:rsidR="00900655" w:rsidRPr="006916FC" w:rsidRDefault="00900655" w:rsidP="008A7E29">
      <w:pPr>
        <w:jc w:val="both"/>
        <w:rPr>
          <w:rFonts w:ascii="Didot" w:eastAsia="Times New Roman" w:hAnsi="Didot" w:cs="Didot"/>
        </w:rPr>
      </w:pPr>
    </w:p>
    <w:p w14:paraId="61EE239D" w14:textId="77777777" w:rsidR="00160E26" w:rsidRPr="006916FC" w:rsidRDefault="00160E26" w:rsidP="008A7E29">
      <w:pPr>
        <w:jc w:val="both"/>
        <w:rPr>
          <w:rFonts w:ascii="Didot" w:eastAsia="MS Mincho" w:hAnsi="Didot" w:cs="Didot"/>
          <w:b/>
          <w:lang w:val="en-US" w:eastAsia="ja-JP"/>
        </w:rPr>
        <w:sectPr w:rsidR="00160E26" w:rsidRPr="006916FC" w:rsidSect="00B86B1F">
          <w:type w:val="continuous"/>
          <w:pgSz w:w="11900" w:h="16840"/>
          <w:pgMar w:top="1440" w:right="1800" w:bottom="1440" w:left="1800" w:header="708" w:footer="708" w:gutter="0"/>
          <w:cols w:space="708"/>
          <w:docGrid w:linePitch="360"/>
        </w:sectPr>
      </w:pPr>
    </w:p>
    <w:p w14:paraId="07D928A9" w14:textId="77777777" w:rsidR="00B552DA" w:rsidRPr="006916FC" w:rsidRDefault="00B552DA" w:rsidP="008A7E29">
      <w:pPr>
        <w:jc w:val="both"/>
        <w:rPr>
          <w:rFonts w:ascii="Didot" w:eastAsia="MS Mincho" w:hAnsi="Didot" w:cs="Didot"/>
          <w:b/>
          <w:lang w:val="en-US" w:eastAsia="ja-JP"/>
        </w:rPr>
      </w:pPr>
      <w:r w:rsidRPr="006916FC">
        <w:rPr>
          <w:rFonts w:ascii="Didot" w:eastAsia="MS Mincho" w:hAnsi="Didot" w:cs="Didot"/>
          <w:b/>
          <w:lang w:val="en-US" w:eastAsia="ja-JP"/>
        </w:rPr>
        <w:lastRenderedPageBreak/>
        <w:t>Introduction</w:t>
      </w:r>
    </w:p>
    <w:p w14:paraId="30F9A114" w14:textId="77777777" w:rsidR="00526673" w:rsidRPr="006916FC" w:rsidRDefault="00526673" w:rsidP="008A7E29">
      <w:pPr>
        <w:jc w:val="both"/>
        <w:rPr>
          <w:rFonts w:ascii="Didot" w:eastAsia="MS Mincho" w:hAnsi="Didot" w:cs="Didot"/>
          <w:b/>
          <w:lang w:val="en-US" w:eastAsia="ja-JP"/>
        </w:rPr>
      </w:pPr>
    </w:p>
    <w:p w14:paraId="73A55341" w14:textId="77777777" w:rsidR="00B552DA" w:rsidRPr="006916FC" w:rsidRDefault="00B552DA" w:rsidP="008A7E29">
      <w:pPr>
        <w:jc w:val="both"/>
        <w:rPr>
          <w:rFonts w:ascii="Didot" w:eastAsia="MS Mincho" w:hAnsi="Didot" w:cs="Didot"/>
          <w:sz w:val="22"/>
          <w:szCs w:val="22"/>
          <w:lang w:val="en-US" w:eastAsia="ja-JP"/>
        </w:rPr>
      </w:pPr>
      <w:r w:rsidRPr="006916FC">
        <w:rPr>
          <w:rFonts w:ascii="Didot" w:eastAsia="MS Mincho" w:hAnsi="Didot" w:cs="Didot"/>
          <w:sz w:val="22"/>
          <w:szCs w:val="22"/>
          <w:lang w:val="en-US" w:eastAsia="ja-JP"/>
        </w:rPr>
        <w:t>Police work and violence and intrinsically related. Police agencies and officials are responsible for preventing and controlling violence; empowered to use violence, are targets of violence (Sherman 1980)</w:t>
      </w:r>
      <w:r w:rsidRPr="006916FC">
        <w:rPr>
          <w:rStyle w:val="FootnoteReference"/>
          <w:rFonts w:ascii="Didot" w:eastAsia="MS Mincho" w:hAnsi="Didot" w:cs="Didot"/>
          <w:sz w:val="22"/>
          <w:szCs w:val="22"/>
          <w:lang w:val="en-US" w:eastAsia="ja-JP"/>
        </w:rPr>
        <w:footnoteReference w:id="29"/>
      </w:r>
      <w:r w:rsidRPr="006916FC">
        <w:rPr>
          <w:rFonts w:ascii="Didot" w:eastAsia="MS Mincho" w:hAnsi="Didot" w:cs="Didot"/>
          <w:sz w:val="22"/>
          <w:szCs w:val="22"/>
          <w:lang w:val="en-US" w:eastAsia="ja-JP"/>
        </w:rPr>
        <w:t>. Police are the major mechanism through which the state exercises its monopoly over legitimate use of violence. However, police are often perpetrators and victims of violence in many societies, thereby fuelling rather than combatting collective and inter-personal violence in society. The police are central to any effort to prevent and reduce violence and enhance public safety. Reduction of violence in a society requires that critical attention be given to the identification and mitigation of political, economic, social and organizational structures in which high levels of violence and impunity are embedded. In addition, a democratic and effective policing system is necessary for maintaining minimum level of collective and interpersonal violence in a country. In the a absence of a democratic policing philosophy and culture, the police can become a vicious force for extortion and brutality, pre-occupied with regime protection instead of “policing for the people” (Mastrofski 1999)</w:t>
      </w:r>
      <w:r w:rsidRPr="006916FC">
        <w:rPr>
          <w:rStyle w:val="FootnoteReference"/>
          <w:rFonts w:ascii="Didot" w:eastAsia="MS Mincho" w:hAnsi="Didot" w:cs="Didot"/>
          <w:sz w:val="22"/>
          <w:szCs w:val="22"/>
          <w:lang w:val="en-US" w:eastAsia="ja-JP"/>
        </w:rPr>
        <w:footnoteReference w:id="30"/>
      </w:r>
      <w:r w:rsidRPr="006916FC">
        <w:rPr>
          <w:rFonts w:ascii="Didot" w:eastAsia="MS Mincho" w:hAnsi="Didot" w:cs="Didot"/>
          <w:sz w:val="22"/>
          <w:szCs w:val="22"/>
          <w:lang w:val="en-US" w:eastAsia="ja-JP"/>
        </w:rPr>
        <w:t xml:space="preserve"> and “policing through human rights” (Greene 2010</w:t>
      </w:r>
      <w:r w:rsidRPr="006916FC">
        <w:rPr>
          <w:rStyle w:val="FootnoteReference"/>
          <w:rFonts w:ascii="Didot" w:eastAsia="MS Mincho" w:hAnsi="Didot" w:cs="Didot"/>
          <w:sz w:val="22"/>
          <w:szCs w:val="22"/>
          <w:lang w:val="en-US" w:eastAsia="ja-JP"/>
        </w:rPr>
        <w:footnoteReference w:id="31"/>
      </w:r>
      <w:r w:rsidRPr="006916FC">
        <w:rPr>
          <w:rFonts w:ascii="Didot" w:eastAsia="MS Mincho" w:hAnsi="Didot" w:cs="Didot"/>
          <w:sz w:val="22"/>
          <w:szCs w:val="22"/>
          <w:lang w:val="en-US" w:eastAsia="ja-JP"/>
        </w:rPr>
        <w:t xml:space="preserve">). </w:t>
      </w:r>
    </w:p>
    <w:p w14:paraId="2877E066" w14:textId="77777777" w:rsidR="00B552DA" w:rsidRPr="006916FC" w:rsidRDefault="00B552DA" w:rsidP="008A7E29">
      <w:pPr>
        <w:jc w:val="both"/>
        <w:rPr>
          <w:rFonts w:ascii="Didot" w:eastAsia="MS Mincho" w:hAnsi="Didot" w:cs="Didot"/>
          <w:sz w:val="22"/>
          <w:szCs w:val="22"/>
          <w:lang w:val="en-US" w:eastAsia="ja-JP"/>
        </w:rPr>
      </w:pPr>
    </w:p>
    <w:p w14:paraId="19E85F3B" w14:textId="77777777" w:rsidR="00B552DA" w:rsidRPr="006916FC" w:rsidRDefault="00B552DA" w:rsidP="008A7E29">
      <w:pPr>
        <w:jc w:val="both"/>
        <w:rPr>
          <w:rFonts w:ascii="Didot" w:eastAsia="MS Mincho" w:hAnsi="Didot" w:cs="Didot"/>
          <w:sz w:val="22"/>
          <w:szCs w:val="22"/>
          <w:lang w:val="en-US" w:eastAsia="ja-JP"/>
        </w:rPr>
      </w:pPr>
      <w:r w:rsidRPr="006916FC">
        <w:rPr>
          <w:rFonts w:ascii="Didot" w:eastAsia="MS Mincho" w:hAnsi="Didot" w:cs="Didot"/>
          <w:sz w:val="22"/>
          <w:szCs w:val="22"/>
          <w:lang w:val="en-US" w:eastAsia="ja-JP"/>
        </w:rPr>
        <w:t xml:space="preserve">The Nigeria Police Force is not guided by the elements of ‘democratic policing’, ‘policing for people’ or ‘policing through human rights’, which significantly accounts for its ineffectiveness and lack of accountability. As a result of police ineffectiveness in tackling or containing the diverse forms of violence in the country, the armed forces personnel have largely been deployed to take over policing duties. At present, military task forces are present operating in thirty-two of the thirty-six states and the Federal Capital Territory of Nigeria. Paradoxically, protracted military rule created much of the factors that currently undermine the effectiveness of the police. During the military rule, the functions of the police were taken over by armed forces personnel and the police were neglected in terms of capacity and organization development due to inter-agency rivalry and sense of superiority over the police by members of the ruling military regimes. </w:t>
      </w:r>
    </w:p>
    <w:p w14:paraId="029A1A6D" w14:textId="77777777" w:rsidR="00B552DA" w:rsidRPr="006916FC" w:rsidRDefault="00B552DA" w:rsidP="008A7E29">
      <w:pPr>
        <w:jc w:val="both"/>
        <w:rPr>
          <w:rFonts w:ascii="Didot" w:eastAsia="MS Mincho" w:hAnsi="Didot" w:cs="Didot"/>
          <w:sz w:val="22"/>
          <w:szCs w:val="22"/>
          <w:lang w:val="en-US" w:eastAsia="ja-JP"/>
        </w:rPr>
      </w:pPr>
    </w:p>
    <w:p w14:paraId="6CF47FB7" w14:textId="77777777" w:rsidR="00B552DA" w:rsidRPr="006916FC" w:rsidRDefault="00B552DA" w:rsidP="008A7E29">
      <w:pPr>
        <w:tabs>
          <w:tab w:val="num" w:pos="900"/>
        </w:tabs>
        <w:jc w:val="both"/>
        <w:rPr>
          <w:rFonts w:ascii="Didot" w:eastAsia="Times New Roman" w:hAnsi="Didot" w:cs="Didot"/>
          <w:sz w:val="22"/>
          <w:szCs w:val="22"/>
        </w:rPr>
      </w:pPr>
      <w:r w:rsidRPr="006916FC">
        <w:rPr>
          <w:rFonts w:ascii="Didot" w:eastAsia="Times New Roman" w:hAnsi="Didot" w:cs="Didot"/>
          <w:sz w:val="22"/>
          <w:szCs w:val="22"/>
        </w:rPr>
        <w:t>Police forces and officials exercise enormous powers and are conferred with authority to use force to enforce laws in order to main public security and order. Goldstein (1977: 1)</w:t>
      </w:r>
      <w:r w:rsidRPr="006916FC">
        <w:rPr>
          <w:rStyle w:val="FootnoteReference"/>
          <w:rFonts w:ascii="Didot" w:eastAsia="Times New Roman" w:hAnsi="Didot" w:cs="Didot"/>
          <w:sz w:val="22"/>
          <w:szCs w:val="22"/>
        </w:rPr>
        <w:footnoteReference w:id="32"/>
      </w:r>
      <w:r w:rsidRPr="006916FC">
        <w:rPr>
          <w:rFonts w:ascii="Didot" w:eastAsia="Times New Roman" w:hAnsi="Didot" w:cs="Didot"/>
          <w:sz w:val="22"/>
          <w:szCs w:val="22"/>
        </w:rPr>
        <w:t xml:space="preserve"> observed that the power of the police “to arrest, to search, to detain, and to use force – is awesome in the degree to which it can be disruptive of freedom, invasive of privacy, and sudden and direct in its impact upon individual”. Enormous human, material and financial resources are also allocated to police organisations to enable them carry out their responsibilities. In view of actual or potential abuse of powers and misuse of resources, democratic societies maintain mechanisms for ensuring that the police are answerable for their functional efficiency (performance), action and conduct (integrity), and managerial efficiency (management of resources). </w:t>
      </w:r>
    </w:p>
    <w:p w14:paraId="7AD4918E" w14:textId="77777777" w:rsidR="00B552DA" w:rsidRPr="006916FC" w:rsidRDefault="00B552DA" w:rsidP="008A7E29">
      <w:pPr>
        <w:tabs>
          <w:tab w:val="num" w:pos="900"/>
        </w:tabs>
        <w:jc w:val="both"/>
        <w:rPr>
          <w:rFonts w:ascii="Didot" w:eastAsia="Times New Roman" w:hAnsi="Didot" w:cs="Didot"/>
        </w:rPr>
      </w:pPr>
    </w:p>
    <w:p w14:paraId="47E0F217" w14:textId="6411CE76" w:rsidR="00B552DA" w:rsidRPr="006916FC" w:rsidRDefault="00B34EBC" w:rsidP="008A7E29">
      <w:pPr>
        <w:jc w:val="both"/>
        <w:rPr>
          <w:rFonts w:ascii="Didot" w:eastAsia="MS Mincho" w:hAnsi="Didot" w:cs="Didot"/>
          <w:b/>
          <w:lang w:val="en-US" w:eastAsia="ja-JP"/>
        </w:rPr>
      </w:pPr>
      <w:r>
        <w:rPr>
          <w:rFonts w:ascii="Didot" w:eastAsia="MS Mincho" w:hAnsi="Didot" w:cs="Didot"/>
          <w:b/>
          <w:lang w:val="en-US" w:eastAsia="ja-JP"/>
        </w:rPr>
        <w:br w:type="column"/>
      </w:r>
      <w:r w:rsidR="00B552DA" w:rsidRPr="006916FC">
        <w:rPr>
          <w:rFonts w:ascii="Didot" w:eastAsia="MS Mincho" w:hAnsi="Didot" w:cs="Didot"/>
          <w:b/>
          <w:lang w:val="en-US" w:eastAsia="ja-JP"/>
        </w:rPr>
        <w:lastRenderedPageBreak/>
        <w:t xml:space="preserve">Nigeria Police Force </w:t>
      </w:r>
    </w:p>
    <w:p w14:paraId="1BB43FCA" w14:textId="77777777" w:rsidR="00526673" w:rsidRPr="006916FC" w:rsidRDefault="00526673" w:rsidP="008A7E29">
      <w:pPr>
        <w:jc w:val="both"/>
        <w:rPr>
          <w:rFonts w:ascii="Didot" w:eastAsia="MS Mincho" w:hAnsi="Didot" w:cs="Didot"/>
          <w:b/>
          <w:lang w:val="en-US" w:eastAsia="ja-JP"/>
        </w:rPr>
      </w:pPr>
    </w:p>
    <w:p w14:paraId="6CFFDD48"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sz w:val="22"/>
          <w:szCs w:val="22"/>
        </w:rPr>
        <w:t>Nigeria has a national police organisation, which is the Nigeria Police Force</w:t>
      </w:r>
      <w:r w:rsidRPr="006916FC">
        <w:rPr>
          <w:rStyle w:val="FootnoteReference"/>
          <w:rFonts w:ascii="Didot" w:eastAsia="Times New Roman" w:hAnsi="Didot" w:cs="Didot"/>
          <w:sz w:val="22"/>
          <w:szCs w:val="22"/>
        </w:rPr>
        <w:footnoteReference w:id="33"/>
      </w:r>
      <w:r w:rsidRPr="006916FC">
        <w:rPr>
          <w:rFonts w:ascii="Didot" w:eastAsia="Times New Roman" w:hAnsi="Didot" w:cs="Didot"/>
          <w:sz w:val="22"/>
          <w:szCs w:val="22"/>
        </w:rPr>
        <w:t xml:space="preserve">. </w:t>
      </w:r>
      <w:r w:rsidRPr="006916FC">
        <w:rPr>
          <w:rFonts w:ascii="Didot" w:eastAsia="Times New Roman" w:hAnsi="Didot" w:cs="Didot"/>
          <w:bCs/>
          <w:sz w:val="22"/>
          <w:szCs w:val="22"/>
        </w:rPr>
        <w:t>The functions of the Nigeria Police Force were specified in section 4 of the Police Act (</w:t>
      </w:r>
      <w:r w:rsidRPr="006916FC">
        <w:rPr>
          <w:rFonts w:ascii="Didot" w:eastAsia="Times New Roman" w:hAnsi="Didot" w:cs="Didot"/>
          <w:bCs/>
          <w:i/>
          <w:sz w:val="22"/>
          <w:szCs w:val="22"/>
        </w:rPr>
        <w:t>Laws of the Federation 2004</w:t>
      </w:r>
      <w:r w:rsidRPr="006916FC">
        <w:rPr>
          <w:rFonts w:ascii="Didot" w:eastAsia="Times New Roman" w:hAnsi="Didot" w:cs="Didot"/>
          <w:bCs/>
          <w:sz w:val="22"/>
          <w:szCs w:val="22"/>
        </w:rPr>
        <w:t>)</w:t>
      </w:r>
      <w:r w:rsidRPr="006916FC">
        <w:rPr>
          <w:rFonts w:ascii="Didot" w:eastAsia="Times New Roman" w:hAnsi="Didot" w:cs="Didot"/>
          <w:bCs/>
          <w:sz w:val="22"/>
          <w:szCs w:val="22"/>
          <w:vertAlign w:val="superscript"/>
        </w:rPr>
        <w:footnoteReference w:id="34"/>
      </w:r>
      <w:r w:rsidRPr="006916FC">
        <w:rPr>
          <w:rFonts w:ascii="Didot" w:eastAsia="Times New Roman" w:hAnsi="Didot" w:cs="Didot"/>
          <w:bCs/>
          <w:sz w:val="22"/>
          <w:szCs w:val="22"/>
        </w:rPr>
        <w:t xml:space="preserve"> as: </w:t>
      </w:r>
      <w:r w:rsidRPr="006916FC">
        <w:rPr>
          <w:rFonts w:ascii="Didot" w:eastAsia="Times New Roman" w:hAnsi="Didot" w:cs="Didot"/>
          <w:sz w:val="22"/>
          <w:szCs w:val="22"/>
        </w:rPr>
        <w:t xml:space="preserve">prevention and detection of crime; apprehension of offenders; preservation of law and order; protection of life and property; enforcement of all laws and regulations with which they are charged, and military duties within or outside Nigeria as may be required of them. </w:t>
      </w:r>
    </w:p>
    <w:p w14:paraId="2ED8F623" w14:textId="77777777" w:rsidR="00B552DA" w:rsidRPr="006916FC" w:rsidRDefault="00B552DA" w:rsidP="008A7E29">
      <w:pPr>
        <w:jc w:val="both"/>
        <w:rPr>
          <w:rFonts w:ascii="Didot" w:eastAsia="Times New Roman" w:hAnsi="Didot" w:cs="Didot"/>
          <w:b/>
          <w:sz w:val="22"/>
          <w:szCs w:val="22"/>
        </w:rPr>
      </w:pPr>
      <w:r w:rsidRPr="006916FC">
        <w:rPr>
          <w:rFonts w:ascii="Didot" w:eastAsia="Times New Roman" w:hAnsi="Didot" w:cs="Didot"/>
          <w:b/>
          <w:sz w:val="22"/>
          <w:szCs w:val="22"/>
        </w:rPr>
        <w:t xml:space="preserve">Violence in Nigeria </w:t>
      </w:r>
    </w:p>
    <w:p w14:paraId="5467749B"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sz w:val="22"/>
          <w:szCs w:val="22"/>
        </w:rPr>
        <w:t>Official crime statistics in the country are very unreliable due to poor record keeping. Nonetheless, an indication of the extent and pattern of violence in Nigeria can be obtained from an annual crime victimization conducted by CLEEN Foundation. Results from a national crime victimization survey in 2011</w:t>
      </w:r>
      <w:r w:rsidRPr="006916FC">
        <w:rPr>
          <w:rFonts w:ascii="Didot" w:eastAsia="Times New Roman" w:hAnsi="Didot" w:cs="Didot"/>
          <w:sz w:val="22"/>
          <w:szCs w:val="22"/>
          <w:vertAlign w:val="superscript"/>
        </w:rPr>
        <w:footnoteReference w:id="35"/>
      </w:r>
      <w:r w:rsidRPr="006916FC">
        <w:rPr>
          <w:rFonts w:ascii="Didot" w:eastAsia="Times New Roman" w:hAnsi="Didot" w:cs="Didot"/>
          <w:sz w:val="22"/>
          <w:szCs w:val="22"/>
        </w:rPr>
        <w:t xml:space="preserve"> in Nigeria showed that:</w:t>
      </w:r>
    </w:p>
    <w:p w14:paraId="1FF13A9F" w14:textId="77777777" w:rsidR="00B552DA" w:rsidRPr="006916FC" w:rsidRDefault="00B552DA" w:rsidP="008A7E29">
      <w:pPr>
        <w:numPr>
          <w:ilvl w:val="0"/>
          <w:numId w:val="13"/>
        </w:numPr>
        <w:contextualSpacing/>
        <w:jc w:val="both"/>
        <w:rPr>
          <w:rFonts w:ascii="Didot" w:eastAsia="Times New Roman" w:hAnsi="Didot" w:cs="Didot"/>
          <w:sz w:val="22"/>
          <w:szCs w:val="22"/>
        </w:rPr>
      </w:pPr>
      <w:r w:rsidRPr="006916FC">
        <w:rPr>
          <w:rFonts w:ascii="Didot" w:eastAsia="Times New Roman" w:hAnsi="Didot" w:cs="Didot"/>
          <w:sz w:val="22"/>
          <w:szCs w:val="22"/>
        </w:rPr>
        <w:t>2.2% reported murder of a household member, compared to 1.3% in 2010;</w:t>
      </w:r>
    </w:p>
    <w:p w14:paraId="0462B736" w14:textId="77777777" w:rsidR="00B552DA" w:rsidRPr="006916FC" w:rsidRDefault="00B552DA" w:rsidP="008A7E29">
      <w:pPr>
        <w:numPr>
          <w:ilvl w:val="0"/>
          <w:numId w:val="13"/>
        </w:numPr>
        <w:contextualSpacing/>
        <w:jc w:val="both"/>
        <w:rPr>
          <w:rFonts w:ascii="Didot" w:eastAsia="Times New Roman" w:hAnsi="Didot" w:cs="Didot"/>
          <w:sz w:val="22"/>
          <w:szCs w:val="22"/>
        </w:rPr>
      </w:pPr>
      <w:r w:rsidRPr="006916FC">
        <w:rPr>
          <w:rFonts w:ascii="Didot" w:eastAsia="Times New Roman" w:hAnsi="Didot" w:cs="Didot"/>
          <w:sz w:val="22"/>
          <w:szCs w:val="22"/>
        </w:rPr>
        <w:t>10.2% reported a household member being a victim of armed robbery compared to 6.7% in 2010;</w:t>
      </w:r>
    </w:p>
    <w:p w14:paraId="5A1B571A" w14:textId="77777777" w:rsidR="00B552DA" w:rsidRPr="006916FC" w:rsidRDefault="00B552DA" w:rsidP="008A7E29">
      <w:pPr>
        <w:numPr>
          <w:ilvl w:val="0"/>
          <w:numId w:val="13"/>
        </w:numPr>
        <w:contextualSpacing/>
        <w:jc w:val="both"/>
        <w:rPr>
          <w:rFonts w:ascii="Didot" w:eastAsia="Times New Roman" w:hAnsi="Didot" w:cs="Didot"/>
          <w:sz w:val="22"/>
          <w:szCs w:val="22"/>
        </w:rPr>
      </w:pPr>
      <w:r w:rsidRPr="006916FC">
        <w:rPr>
          <w:rFonts w:ascii="Didot" w:eastAsia="Times New Roman" w:hAnsi="Didot" w:cs="Didot"/>
          <w:sz w:val="22"/>
          <w:szCs w:val="22"/>
        </w:rPr>
        <w:t>1.3% reported the rape of a household member compared to 1.0% in 2010;</w:t>
      </w:r>
    </w:p>
    <w:p w14:paraId="65E95B08" w14:textId="77777777" w:rsidR="00B552DA" w:rsidRPr="006916FC" w:rsidRDefault="00B552DA" w:rsidP="008A7E29">
      <w:pPr>
        <w:numPr>
          <w:ilvl w:val="0"/>
          <w:numId w:val="13"/>
        </w:numPr>
        <w:contextualSpacing/>
        <w:jc w:val="both"/>
        <w:rPr>
          <w:rFonts w:ascii="Didot" w:eastAsia="Times New Roman" w:hAnsi="Didot" w:cs="Didot"/>
          <w:sz w:val="22"/>
          <w:szCs w:val="22"/>
        </w:rPr>
      </w:pPr>
      <w:r w:rsidRPr="006916FC">
        <w:rPr>
          <w:rFonts w:ascii="Didot" w:eastAsia="Times New Roman" w:hAnsi="Didot" w:cs="Didot"/>
          <w:sz w:val="22"/>
          <w:szCs w:val="22"/>
        </w:rPr>
        <w:t>1.4% reported kidnapping of household member as against 0.8% in 2010</w:t>
      </w:r>
    </w:p>
    <w:p w14:paraId="445632E6" w14:textId="77777777" w:rsidR="00B552DA" w:rsidRPr="006916FC" w:rsidRDefault="00B552DA" w:rsidP="008A7E29">
      <w:pPr>
        <w:numPr>
          <w:ilvl w:val="0"/>
          <w:numId w:val="13"/>
        </w:numPr>
        <w:contextualSpacing/>
        <w:jc w:val="both"/>
        <w:rPr>
          <w:rFonts w:ascii="Didot" w:eastAsia="Times New Roman" w:hAnsi="Didot" w:cs="Didot"/>
          <w:sz w:val="22"/>
          <w:szCs w:val="22"/>
        </w:rPr>
      </w:pPr>
      <w:r w:rsidRPr="006916FC">
        <w:rPr>
          <w:rFonts w:ascii="Didot" w:eastAsia="Times New Roman" w:hAnsi="Didot" w:cs="Didot"/>
          <w:sz w:val="22"/>
          <w:szCs w:val="22"/>
        </w:rPr>
        <w:t>19.8% reported domestic violence compared to 13.8% in 2010.</w:t>
      </w:r>
    </w:p>
    <w:p w14:paraId="39EB7819" w14:textId="77777777" w:rsidR="00B552DA" w:rsidRPr="006916FC" w:rsidRDefault="00B552DA" w:rsidP="008A7E29">
      <w:pPr>
        <w:jc w:val="both"/>
        <w:rPr>
          <w:rFonts w:ascii="Didot" w:eastAsia="Times New Roman" w:hAnsi="Didot" w:cs="Didot"/>
          <w:sz w:val="22"/>
          <w:szCs w:val="22"/>
        </w:rPr>
      </w:pPr>
    </w:p>
    <w:p w14:paraId="196B290E" w14:textId="77777777" w:rsidR="00B552DA" w:rsidRPr="006916FC" w:rsidRDefault="00B552DA" w:rsidP="008A7E29">
      <w:pPr>
        <w:jc w:val="both"/>
        <w:rPr>
          <w:rFonts w:ascii="Didot" w:eastAsia="Calibri" w:hAnsi="Didot" w:cs="Didot"/>
          <w:bCs/>
          <w:sz w:val="22"/>
          <w:szCs w:val="22"/>
          <w:lang w:val="en-US"/>
        </w:rPr>
      </w:pPr>
      <w:r w:rsidRPr="006916FC">
        <w:rPr>
          <w:rFonts w:ascii="Didot" w:eastAsia="Times New Roman" w:hAnsi="Didot" w:cs="Didot"/>
          <w:sz w:val="22"/>
          <w:szCs w:val="22"/>
        </w:rPr>
        <w:t>Insight into violence from the following official statistics can be obtained from police statistics on armed robbery and associated casualty</w:t>
      </w:r>
      <w:r w:rsidRPr="006916FC">
        <w:rPr>
          <w:rFonts w:ascii="Didot" w:eastAsia="Calibri" w:hAnsi="Didot" w:cs="Didot"/>
          <w:bCs/>
          <w:sz w:val="22"/>
          <w:szCs w:val="22"/>
          <w:lang w:val="en-US"/>
        </w:rPr>
        <w:t xml:space="preserve"> from 2005 -2009:</w:t>
      </w:r>
    </w:p>
    <w:p w14:paraId="3F12CCFC" w14:textId="77777777" w:rsidR="00B552DA" w:rsidRPr="006916FC" w:rsidRDefault="00B552DA" w:rsidP="008A7E29">
      <w:pPr>
        <w:numPr>
          <w:ilvl w:val="0"/>
          <w:numId w:val="12"/>
        </w:numPr>
        <w:jc w:val="both"/>
        <w:rPr>
          <w:rFonts w:ascii="Didot" w:eastAsia="Calibri" w:hAnsi="Didot" w:cs="Didot"/>
          <w:bCs/>
          <w:sz w:val="22"/>
          <w:szCs w:val="22"/>
          <w:lang w:val="en-US"/>
        </w:rPr>
      </w:pPr>
      <w:r w:rsidRPr="006916FC">
        <w:rPr>
          <w:rFonts w:ascii="Didot" w:eastAsia="Calibri" w:hAnsi="Didot" w:cs="Didot"/>
          <w:bCs/>
          <w:sz w:val="22"/>
          <w:szCs w:val="22"/>
          <w:lang w:val="en-US"/>
        </w:rPr>
        <w:t>1,043 citizens were killed in armed robbery incidents;</w:t>
      </w:r>
    </w:p>
    <w:p w14:paraId="4F4EC3A7" w14:textId="77777777" w:rsidR="00B552DA" w:rsidRPr="006916FC" w:rsidRDefault="00B552DA" w:rsidP="008A7E29">
      <w:pPr>
        <w:numPr>
          <w:ilvl w:val="0"/>
          <w:numId w:val="12"/>
        </w:numPr>
        <w:jc w:val="both"/>
        <w:rPr>
          <w:rFonts w:ascii="Didot" w:eastAsia="Calibri" w:hAnsi="Didot" w:cs="Didot"/>
          <w:bCs/>
          <w:sz w:val="22"/>
          <w:szCs w:val="22"/>
          <w:lang w:val="en-US"/>
        </w:rPr>
      </w:pPr>
      <w:r w:rsidRPr="006916FC">
        <w:rPr>
          <w:rFonts w:ascii="Didot" w:eastAsia="Calibri" w:hAnsi="Didot" w:cs="Didot"/>
          <w:bCs/>
          <w:sz w:val="22"/>
          <w:szCs w:val="22"/>
          <w:lang w:val="en-US"/>
        </w:rPr>
        <w:t>16,925 robbery suspects were arrested by the police;</w:t>
      </w:r>
    </w:p>
    <w:p w14:paraId="1BB4AAEC" w14:textId="77777777" w:rsidR="00B552DA" w:rsidRPr="006916FC" w:rsidRDefault="00B552DA" w:rsidP="008A7E29">
      <w:pPr>
        <w:numPr>
          <w:ilvl w:val="0"/>
          <w:numId w:val="12"/>
        </w:numPr>
        <w:jc w:val="both"/>
        <w:rPr>
          <w:rFonts w:ascii="Didot" w:eastAsia="Calibri" w:hAnsi="Didot" w:cs="Didot"/>
          <w:bCs/>
          <w:sz w:val="22"/>
          <w:szCs w:val="22"/>
          <w:lang w:val="en-US"/>
        </w:rPr>
      </w:pPr>
      <w:r w:rsidRPr="006916FC">
        <w:rPr>
          <w:rFonts w:ascii="Didot" w:eastAsia="Calibri" w:hAnsi="Didot" w:cs="Didot"/>
          <w:bCs/>
          <w:sz w:val="22"/>
          <w:szCs w:val="22"/>
          <w:lang w:val="en-US"/>
        </w:rPr>
        <w:t>3,651 armed robbery suspects were prosecuted, which constitute only about 20% of robbery suspects arrested during the period;</w:t>
      </w:r>
    </w:p>
    <w:p w14:paraId="7D0DDD9F" w14:textId="77777777" w:rsidR="00B552DA" w:rsidRPr="006916FC" w:rsidRDefault="00B552DA" w:rsidP="008A7E29">
      <w:pPr>
        <w:numPr>
          <w:ilvl w:val="0"/>
          <w:numId w:val="12"/>
        </w:numPr>
        <w:jc w:val="both"/>
        <w:rPr>
          <w:rFonts w:ascii="Didot" w:eastAsia="Calibri" w:hAnsi="Didot" w:cs="Didot"/>
          <w:bCs/>
          <w:sz w:val="22"/>
          <w:szCs w:val="22"/>
          <w:lang w:val="en-US"/>
        </w:rPr>
      </w:pPr>
      <w:r w:rsidRPr="006916FC">
        <w:rPr>
          <w:rFonts w:ascii="Didot" w:eastAsia="Calibri" w:hAnsi="Didot" w:cs="Didot"/>
          <w:bCs/>
          <w:sz w:val="22"/>
          <w:szCs w:val="22"/>
          <w:lang w:val="en-US"/>
        </w:rPr>
        <w:t>2,216 robbery suspects were killed in encounter with the police</w:t>
      </w:r>
    </w:p>
    <w:p w14:paraId="17FC1E51" w14:textId="77777777" w:rsidR="00B552DA" w:rsidRPr="006916FC" w:rsidRDefault="00B552DA" w:rsidP="008A7E29">
      <w:pPr>
        <w:numPr>
          <w:ilvl w:val="0"/>
          <w:numId w:val="12"/>
        </w:numPr>
        <w:jc w:val="both"/>
        <w:rPr>
          <w:rFonts w:ascii="Didot" w:eastAsia="Calibri" w:hAnsi="Didot" w:cs="Didot"/>
          <w:bCs/>
          <w:sz w:val="22"/>
          <w:szCs w:val="22"/>
          <w:lang w:val="en-US"/>
        </w:rPr>
      </w:pPr>
      <w:r w:rsidRPr="006916FC">
        <w:rPr>
          <w:rFonts w:ascii="Didot" w:eastAsia="Calibri" w:hAnsi="Didot" w:cs="Didot"/>
          <w:bCs/>
          <w:sz w:val="22"/>
          <w:szCs w:val="22"/>
          <w:lang w:val="en-US"/>
        </w:rPr>
        <w:t xml:space="preserve">517 police officers were killed in encounter with robbers. </w:t>
      </w:r>
    </w:p>
    <w:p w14:paraId="3E23BF26" w14:textId="77777777" w:rsidR="00B552DA" w:rsidRPr="006916FC" w:rsidRDefault="00B552DA" w:rsidP="008A7E29">
      <w:pPr>
        <w:contextualSpacing/>
        <w:jc w:val="both"/>
        <w:rPr>
          <w:rFonts w:ascii="Didot" w:eastAsia="Calibri" w:hAnsi="Didot" w:cs="Didot"/>
          <w:bCs/>
          <w:sz w:val="22"/>
          <w:szCs w:val="22"/>
          <w:lang w:val="en-US"/>
        </w:rPr>
      </w:pPr>
      <w:r w:rsidRPr="006916FC">
        <w:rPr>
          <w:rFonts w:ascii="Didot" w:eastAsia="Calibri" w:hAnsi="Didot" w:cs="Didot"/>
          <w:bCs/>
          <w:sz w:val="22"/>
          <w:szCs w:val="22"/>
        </w:rPr>
        <w:t xml:space="preserve">Official statistics from the police indicated that </w:t>
      </w:r>
      <w:proofErr w:type="gramStart"/>
      <w:r w:rsidRPr="006916FC">
        <w:rPr>
          <w:rFonts w:ascii="Didot" w:eastAsia="Calibri" w:hAnsi="Didot" w:cs="Didot"/>
          <w:bCs/>
          <w:sz w:val="22"/>
          <w:szCs w:val="22"/>
          <w:lang w:val="en-US"/>
        </w:rPr>
        <w:t>2.184</w:t>
      </w:r>
      <w:proofErr w:type="gramEnd"/>
      <w:r w:rsidRPr="006916FC">
        <w:rPr>
          <w:rFonts w:ascii="Didot" w:eastAsia="Calibri" w:hAnsi="Didot" w:cs="Didot"/>
          <w:bCs/>
          <w:sz w:val="22"/>
          <w:szCs w:val="22"/>
          <w:lang w:val="en-US"/>
        </w:rPr>
        <w:t xml:space="preserve"> cases of kidnapping were recorded between January 2008 and June 2012. </w:t>
      </w:r>
    </w:p>
    <w:p w14:paraId="7C68F7B5" w14:textId="77777777" w:rsidR="00B552DA" w:rsidRPr="006916FC" w:rsidRDefault="00B552DA" w:rsidP="008A7E29">
      <w:pPr>
        <w:contextualSpacing/>
        <w:jc w:val="both"/>
        <w:rPr>
          <w:rFonts w:ascii="Didot" w:eastAsia="Calibri" w:hAnsi="Didot" w:cs="Didot"/>
          <w:bCs/>
          <w:sz w:val="22"/>
          <w:szCs w:val="22"/>
          <w:lang w:val="en-US"/>
        </w:rPr>
      </w:pPr>
    </w:p>
    <w:p w14:paraId="61F3D1F7" w14:textId="77777777" w:rsidR="00B552DA" w:rsidRPr="006916FC" w:rsidRDefault="00B552DA" w:rsidP="008A7E29">
      <w:pPr>
        <w:contextualSpacing/>
        <w:jc w:val="both"/>
        <w:rPr>
          <w:rFonts w:ascii="Didot" w:eastAsia="Calibri" w:hAnsi="Didot" w:cs="Didot"/>
          <w:bCs/>
          <w:sz w:val="22"/>
          <w:szCs w:val="22"/>
        </w:rPr>
      </w:pPr>
      <w:r w:rsidRPr="006916FC">
        <w:rPr>
          <w:rFonts w:ascii="Didot" w:eastAsia="Calibri" w:hAnsi="Didot" w:cs="Didot"/>
          <w:bCs/>
          <w:sz w:val="22"/>
          <w:szCs w:val="22"/>
          <w:lang w:val="en-US"/>
        </w:rPr>
        <w:t xml:space="preserve">Since </w:t>
      </w:r>
      <w:r w:rsidRPr="006916FC">
        <w:rPr>
          <w:rFonts w:ascii="Didot" w:eastAsia="Calibri" w:hAnsi="Didot" w:cs="Didot"/>
          <w:bCs/>
          <w:sz w:val="22"/>
          <w:szCs w:val="22"/>
        </w:rPr>
        <w:t xml:space="preserve">1999, violent conflicts have claimed the lives of thousands of citizens; inflicted grievous injury or harm to hundreds of thousands of citizens; engendered internal displacement of hundreds of thousands and the destruction and looting of property worth billions of naira. The current Boko Haram insurgency has been credited with more than 5000 deaths since 2011 and the kidnapping of hundreds of victims, including more than 200 students that were kidnapped on </w:t>
      </w:r>
      <w:proofErr w:type="gramStart"/>
      <w:r w:rsidRPr="006916FC">
        <w:rPr>
          <w:rFonts w:ascii="Didot" w:eastAsia="Calibri" w:hAnsi="Didot" w:cs="Didot"/>
          <w:bCs/>
          <w:sz w:val="22"/>
          <w:szCs w:val="22"/>
        </w:rPr>
        <w:t>April</w:t>
      </w:r>
      <w:proofErr w:type="gramEnd"/>
      <w:r w:rsidRPr="006916FC">
        <w:rPr>
          <w:rFonts w:ascii="Didot" w:eastAsia="Calibri" w:hAnsi="Didot" w:cs="Didot"/>
          <w:bCs/>
          <w:sz w:val="22"/>
          <w:szCs w:val="22"/>
        </w:rPr>
        <w:t xml:space="preserve"> 14 and had </w:t>
      </w:r>
      <w:r w:rsidRPr="006916FC">
        <w:rPr>
          <w:rFonts w:ascii="Didot" w:eastAsia="Calibri" w:hAnsi="Didot" w:cs="Didot"/>
          <w:bCs/>
          <w:sz w:val="22"/>
          <w:szCs w:val="22"/>
        </w:rPr>
        <w:lastRenderedPageBreak/>
        <w:t xml:space="preserve">not been released as mid-August 2014.  Hundreds of personnel of the Armed Forces, Police and Prisons have been killed by Boko Haram insurgents. </w:t>
      </w:r>
    </w:p>
    <w:p w14:paraId="61CACA45" w14:textId="77777777" w:rsidR="00B552DA" w:rsidRPr="006916FC" w:rsidRDefault="00B552DA" w:rsidP="008A7E29">
      <w:pPr>
        <w:contextualSpacing/>
        <w:jc w:val="both"/>
        <w:rPr>
          <w:rFonts w:ascii="Didot" w:eastAsia="Calibri" w:hAnsi="Didot" w:cs="Didot"/>
          <w:bCs/>
          <w:sz w:val="22"/>
          <w:szCs w:val="22"/>
        </w:rPr>
      </w:pPr>
    </w:p>
    <w:p w14:paraId="3BBE953B" w14:textId="77777777" w:rsidR="00B552DA" w:rsidRPr="006916FC" w:rsidRDefault="00B552DA" w:rsidP="008A7E29">
      <w:pPr>
        <w:contextualSpacing/>
        <w:jc w:val="both"/>
        <w:rPr>
          <w:rFonts w:ascii="Didot" w:eastAsia="Calibri" w:hAnsi="Didot" w:cs="Didot"/>
          <w:bCs/>
          <w:sz w:val="22"/>
          <w:szCs w:val="22"/>
          <w:lang w:val="en-US"/>
        </w:rPr>
      </w:pPr>
      <w:r w:rsidRPr="006916FC">
        <w:rPr>
          <w:rFonts w:ascii="Didot" w:eastAsia="Calibri" w:hAnsi="Didot" w:cs="Didot"/>
          <w:bCs/>
          <w:sz w:val="22"/>
          <w:szCs w:val="22"/>
        </w:rPr>
        <w:t>Political violence is also a major problem in Nigeria. The violence that erupted after the presidential election in 2011 resulted in 943 deaths, 838 injured persons, and 626 arrests. In Kaduna state alone, 827 deaths were recorded, followed by Bauchi State with 36 deaths; Adamawa 26 deaths and Gombe 20 deaths</w:t>
      </w:r>
      <w:r w:rsidRPr="006916FC">
        <w:rPr>
          <w:rStyle w:val="FootnoteReference"/>
          <w:rFonts w:ascii="Didot" w:eastAsia="Calibri" w:hAnsi="Didot" w:cs="Didot"/>
          <w:bCs/>
          <w:sz w:val="22"/>
          <w:szCs w:val="22"/>
        </w:rPr>
        <w:footnoteReference w:id="36"/>
      </w:r>
      <w:r w:rsidRPr="006916FC">
        <w:rPr>
          <w:rFonts w:ascii="Didot" w:eastAsia="Calibri" w:hAnsi="Didot" w:cs="Didot"/>
          <w:bCs/>
          <w:sz w:val="22"/>
          <w:szCs w:val="22"/>
        </w:rPr>
        <w:t>. Two major problems associated with violence and corruption in the country is impunity. The perpetrators of these crimes are hardly detected. But even when arrested, they are hardly charged to court, and when charged to court, the cases are not effectively prosecuted resulting in dismissal and a high population of detainees awaiting trial in Nigerian prisons.</w:t>
      </w:r>
    </w:p>
    <w:p w14:paraId="196FBBF2" w14:textId="77777777" w:rsidR="00B552DA" w:rsidRPr="006916FC" w:rsidRDefault="00B552DA" w:rsidP="008A7E29">
      <w:pPr>
        <w:jc w:val="both"/>
        <w:rPr>
          <w:rFonts w:ascii="Didot" w:eastAsia="Times New Roman" w:hAnsi="Didot" w:cs="Didot"/>
        </w:rPr>
      </w:pPr>
    </w:p>
    <w:p w14:paraId="6E89FFA3" w14:textId="77777777" w:rsidR="00B552DA" w:rsidRPr="006916FC" w:rsidRDefault="00B552DA" w:rsidP="008A7E29">
      <w:pPr>
        <w:jc w:val="both"/>
        <w:rPr>
          <w:rFonts w:ascii="Didot" w:eastAsia="Times New Roman" w:hAnsi="Didot" w:cs="Didot"/>
          <w:b/>
        </w:rPr>
      </w:pPr>
      <w:r w:rsidRPr="006916FC">
        <w:rPr>
          <w:rFonts w:ascii="Didot" w:eastAsia="Times New Roman" w:hAnsi="Didot" w:cs="Didot"/>
          <w:b/>
        </w:rPr>
        <w:t>Police Performance and legitimacy in Nigeria</w:t>
      </w:r>
    </w:p>
    <w:p w14:paraId="3F21106B" w14:textId="77777777" w:rsidR="00526673" w:rsidRPr="006916FC" w:rsidRDefault="00526673" w:rsidP="008A7E29">
      <w:pPr>
        <w:jc w:val="both"/>
        <w:rPr>
          <w:rFonts w:ascii="Didot" w:eastAsia="Times New Roman" w:hAnsi="Didot" w:cs="Didot"/>
          <w:b/>
        </w:rPr>
      </w:pPr>
    </w:p>
    <w:p w14:paraId="727FAA9D"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sz w:val="22"/>
          <w:szCs w:val="22"/>
        </w:rPr>
        <w:t xml:space="preserve">In spite of its national jurisdiction and presence with staff strength of over 350,000 personnel, and wide power to carry out its function, the Nigeria Force is generally perceived as functionally inefficient; repressive and corrupt, resulting in mutual hostility and mistrust between the police and the citizens in Nigeria. </w:t>
      </w:r>
      <w:r w:rsidRPr="006916FC">
        <w:rPr>
          <w:rFonts w:ascii="Didot" w:eastAsia="Times New Roman" w:hAnsi="Didot" w:cs="Didot"/>
          <w:color w:val="000000"/>
          <w:sz w:val="22"/>
          <w:szCs w:val="22"/>
          <w:lang w:val="en-US"/>
        </w:rPr>
        <w:t>Sources of police-public hostility and distrust in Nigeria include (a) the colonial origin of police forces and their deployment to defend exploitation and repression; (b) retention of repressive and paramilitary police system preoccupied with regime protection instead of democratic policing culture; (c) absence of functional efficiency, accountability and responsiveness by the police forces; (d) unprofessional conducts, especially corruption and brutality, on the part of the police, and (e) the disposition towards law and law enforcement agencies by members of the public (Tamuno 1970; Kayode 1976; Alemika and Chukwuma 2000; Odekunle 1979; Alemika 1993; 2003a, 2003b; Ahire 1991, 1993; Rotimi 1993; Working Party Report, 1967)</w:t>
      </w:r>
      <w:r w:rsidRPr="006916FC">
        <w:rPr>
          <w:rStyle w:val="FootnoteReference"/>
          <w:rFonts w:ascii="Didot" w:eastAsia="Times New Roman" w:hAnsi="Didot" w:cs="Didot"/>
          <w:color w:val="000000"/>
          <w:sz w:val="22"/>
          <w:szCs w:val="22"/>
          <w:lang w:val="en-US"/>
        </w:rPr>
        <w:footnoteReference w:id="37"/>
      </w:r>
      <w:r w:rsidRPr="006916FC">
        <w:rPr>
          <w:rFonts w:ascii="Didot" w:eastAsia="Times New Roman" w:hAnsi="Didot" w:cs="Didot"/>
          <w:color w:val="000000"/>
          <w:sz w:val="22"/>
          <w:szCs w:val="22"/>
          <w:lang w:val="en-US"/>
        </w:rPr>
        <w:t xml:space="preserve">. The antagonistic relationship between the citizens and the </w:t>
      </w:r>
      <w:r w:rsidRPr="006916FC">
        <w:rPr>
          <w:rFonts w:ascii="Didot" w:eastAsia="Times New Roman" w:hAnsi="Didot" w:cs="Didot"/>
          <w:color w:val="000000"/>
          <w:sz w:val="22"/>
          <w:szCs w:val="22"/>
          <w:lang w:val="en-US"/>
        </w:rPr>
        <w:lastRenderedPageBreak/>
        <w:t xml:space="preserve">police constitutes an impediment to police efficiency and accountability and fuels </w:t>
      </w:r>
      <w:r w:rsidRPr="006916FC">
        <w:rPr>
          <w:rFonts w:ascii="Didot" w:eastAsia="Times New Roman" w:hAnsi="Didot" w:cs="Didot"/>
          <w:sz w:val="22"/>
          <w:szCs w:val="22"/>
        </w:rPr>
        <w:t>violence between members of the public and the police.</w:t>
      </w:r>
    </w:p>
    <w:p w14:paraId="26C14FC2" w14:textId="77777777" w:rsidR="00B552DA" w:rsidRPr="006916FC" w:rsidRDefault="00B552DA" w:rsidP="008A7E29">
      <w:pPr>
        <w:autoSpaceDE w:val="0"/>
        <w:autoSpaceDN w:val="0"/>
        <w:adjustRightInd w:val="0"/>
        <w:jc w:val="both"/>
        <w:rPr>
          <w:rFonts w:ascii="Didot" w:eastAsia="Times New Roman" w:hAnsi="Didot" w:cs="Didot"/>
          <w:sz w:val="22"/>
          <w:szCs w:val="22"/>
        </w:rPr>
      </w:pPr>
    </w:p>
    <w:p w14:paraId="611D8FBB"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sz w:val="22"/>
          <w:szCs w:val="22"/>
        </w:rPr>
        <w:t>Analysis of the responses of respondents in the CLEEN criminal victimization for 2011revealed the following public perception of police performance:</w:t>
      </w:r>
    </w:p>
    <w:p w14:paraId="461FD2FF"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48.8% of respondents considered police performance in 2011 to be good or very good (good - 40.4% and very good - 8.4%)</w:t>
      </w:r>
      <w:proofErr w:type="gramStart"/>
      <w:r w:rsidRPr="006916FC">
        <w:rPr>
          <w:rFonts w:ascii="Didot" w:hAnsi="Didot" w:cs="Didot"/>
          <w:sz w:val="22"/>
          <w:szCs w:val="22"/>
        </w:rPr>
        <w:t>;</w:t>
      </w:r>
      <w:proofErr w:type="gramEnd"/>
    </w:p>
    <w:p w14:paraId="4DEE6737"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40.8% of those with contact with police officials reported that they were required to pay bribe;</w:t>
      </w:r>
    </w:p>
    <w:p w14:paraId="4DFA7602"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24.8% of the entire sample trusted the police somewhat or a lot;</w:t>
      </w:r>
    </w:p>
    <w:p w14:paraId="1C8DFA14"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65.9% perceived most or all police officers as corrupt;</w:t>
      </w:r>
    </w:p>
    <w:p w14:paraId="0DBF9275"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69.4% of the (477) respondents who reported the violation of their rights by security agencies identified police officials as responsible;</w:t>
      </w:r>
    </w:p>
    <w:p w14:paraId="09624708"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20.8% of the (810) victims of crimes reported to the police;</w:t>
      </w:r>
    </w:p>
    <w:p w14:paraId="1A4BBE0C"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47.7% of the victims that reported to the victims were satisfied with the handling of their report by the police;</w:t>
      </w:r>
    </w:p>
    <w:p w14:paraId="66C6986A" w14:textId="77777777" w:rsidR="00B552DA" w:rsidRPr="006916FC" w:rsidRDefault="00B552DA" w:rsidP="008A7E29">
      <w:pPr>
        <w:pStyle w:val="ListParagraph"/>
        <w:numPr>
          <w:ilvl w:val="0"/>
          <w:numId w:val="14"/>
        </w:numPr>
        <w:jc w:val="both"/>
        <w:rPr>
          <w:rFonts w:ascii="Didot" w:hAnsi="Didot" w:cs="Didot"/>
          <w:sz w:val="22"/>
          <w:szCs w:val="22"/>
        </w:rPr>
      </w:pPr>
      <w:r w:rsidRPr="006916FC">
        <w:rPr>
          <w:rFonts w:ascii="Didot" w:hAnsi="Didot" w:cs="Didot"/>
          <w:sz w:val="22"/>
          <w:szCs w:val="22"/>
        </w:rPr>
        <w:t>Among those (312 respondents) who were dissatisfied with the police handling of their report, the principal reasons for dissatisfaction were failure to apprehend offenders (26.3%); failure to recover property (32.7%); police were slow to arrive  (12.2%); failure to provide feedback on actions (11.5%); demand for bribe (4.8%), and disrespect (4.5%)</w:t>
      </w:r>
    </w:p>
    <w:p w14:paraId="6BD21457" w14:textId="77777777" w:rsidR="00B552DA" w:rsidRPr="006916FC" w:rsidRDefault="00B552DA" w:rsidP="008A7E29">
      <w:pPr>
        <w:jc w:val="both"/>
        <w:rPr>
          <w:rFonts w:ascii="Didot" w:eastAsia="Times New Roman" w:hAnsi="Didot" w:cs="Didot"/>
        </w:rPr>
      </w:pPr>
    </w:p>
    <w:p w14:paraId="756334C7" w14:textId="77777777" w:rsidR="00B552DA" w:rsidRPr="006916FC" w:rsidRDefault="00B552DA" w:rsidP="008A7E29">
      <w:pPr>
        <w:jc w:val="both"/>
        <w:rPr>
          <w:rFonts w:ascii="Didot" w:eastAsia="Times New Roman" w:hAnsi="Didot" w:cs="Didot"/>
          <w:b/>
        </w:rPr>
      </w:pPr>
      <w:r w:rsidRPr="006916FC">
        <w:rPr>
          <w:rFonts w:ascii="Didot" w:eastAsia="Times New Roman" w:hAnsi="Didot" w:cs="Didot"/>
          <w:b/>
        </w:rPr>
        <w:t xml:space="preserve">Police Accountability in Nigeria </w:t>
      </w:r>
    </w:p>
    <w:p w14:paraId="79ECBB23" w14:textId="77777777" w:rsidR="00526673" w:rsidRPr="006916FC" w:rsidRDefault="00526673" w:rsidP="008A7E29">
      <w:pPr>
        <w:jc w:val="both"/>
        <w:rPr>
          <w:rFonts w:ascii="Didot" w:eastAsia="Times New Roman" w:hAnsi="Didot" w:cs="Didot"/>
          <w:b/>
        </w:rPr>
      </w:pPr>
    </w:p>
    <w:p w14:paraId="09D42FDE" w14:textId="77777777" w:rsidR="00B552DA" w:rsidRPr="006916FC" w:rsidRDefault="00B552DA" w:rsidP="008A7E29">
      <w:pPr>
        <w:jc w:val="both"/>
        <w:rPr>
          <w:rFonts w:ascii="Didot" w:eastAsia="Times New Roman" w:hAnsi="Didot" w:cs="Didot"/>
          <w:bCs/>
          <w:sz w:val="22"/>
          <w:szCs w:val="22"/>
        </w:rPr>
      </w:pPr>
      <w:r w:rsidRPr="006916FC">
        <w:rPr>
          <w:rFonts w:ascii="Didot" w:hAnsi="Didot" w:cs="Didot"/>
          <w:sz w:val="22"/>
          <w:szCs w:val="22"/>
          <w:lang w:val="en-ZA"/>
        </w:rPr>
        <w:t>Accountability involves an obligation to act in conformity with designated laws, rules and standards, failing which there are agencies to sanction deviation and thereby eliminate impunity.</w:t>
      </w:r>
      <w:r w:rsidRPr="006916FC">
        <w:rPr>
          <w:rFonts w:ascii="Didot" w:eastAsia="Times New Roman" w:hAnsi="Didot" w:cs="Didot"/>
          <w:sz w:val="22"/>
          <w:szCs w:val="22"/>
        </w:rPr>
        <w:t>The Constitution and laws of Nigeria provide for several external and internal mechanisms of police oversight and accountability.</w:t>
      </w:r>
      <w:r w:rsidRPr="006916FC">
        <w:rPr>
          <w:rFonts w:ascii="Didot" w:eastAsia="Times New Roman" w:hAnsi="Didot" w:cs="Didot"/>
          <w:bCs/>
          <w:sz w:val="22"/>
          <w:szCs w:val="22"/>
        </w:rPr>
        <w:t xml:space="preserve"> The Police Council chaired by the President of the Federation with state governors as members, and The Police Service Commission are police oversight agencies were created by the Constitution. Major functions of the Police Council are dealing with matters relating to (a) the organisation and administration of the Nigeria Police Force and all other matters relating thereto (not being matters relating to the use and operational control of the Force or the appointment, disciplinary control and dismissal of members of the force); (b) the </w:t>
      </w:r>
      <w:r w:rsidRPr="006916FC">
        <w:rPr>
          <w:rFonts w:ascii="Didot" w:eastAsia="Times New Roman" w:hAnsi="Didot" w:cs="Didot"/>
          <w:bCs/>
          <w:i/>
          <w:sz w:val="22"/>
          <w:szCs w:val="22"/>
        </w:rPr>
        <w:t xml:space="preserve">general supervision </w:t>
      </w:r>
      <w:r w:rsidRPr="006916FC">
        <w:rPr>
          <w:rFonts w:ascii="Didot" w:eastAsia="Times New Roman" w:hAnsi="Didot" w:cs="Didot"/>
          <w:bCs/>
          <w:sz w:val="22"/>
          <w:szCs w:val="22"/>
        </w:rPr>
        <w:t xml:space="preserve">of the Nigeria Police Force; and (c) advising the President on the appointment of the Inspector-General of Police. </w:t>
      </w:r>
    </w:p>
    <w:p w14:paraId="2C3D1EC2" w14:textId="77777777" w:rsidR="00B552DA" w:rsidRPr="006916FC" w:rsidRDefault="00B552DA" w:rsidP="008A7E29">
      <w:pPr>
        <w:jc w:val="both"/>
        <w:rPr>
          <w:rFonts w:ascii="Didot" w:eastAsia="Times New Roman" w:hAnsi="Didot" w:cs="Didot"/>
          <w:bCs/>
          <w:sz w:val="22"/>
          <w:szCs w:val="22"/>
        </w:rPr>
      </w:pPr>
    </w:p>
    <w:p w14:paraId="3FD1BA6A"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bCs/>
          <w:sz w:val="22"/>
          <w:szCs w:val="22"/>
        </w:rPr>
        <w:t xml:space="preserve">The functions of the Police Service Commission are to (a) appoint persons to offices (other than the office of the Inspector-General of Police) in the Nigeria Police Force; and </w:t>
      </w:r>
      <w:r w:rsidRPr="006916FC">
        <w:rPr>
          <w:rFonts w:ascii="Didot" w:eastAsia="Times New Roman" w:hAnsi="Didot" w:cs="Didot"/>
          <w:sz w:val="22"/>
          <w:szCs w:val="22"/>
        </w:rPr>
        <w:t xml:space="preserve">(b) dismiss and exercise disciplinary control over persons holding any office in the Force, except the Inspector-General of Police. The </w:t>
      </w:r>
      <w:r w:rsidRPr="006916FC">
        <w:rPr>
          <w:rFonts w:ascii="Didot" w:eastAsia="Times New Roman" w:hAnsi="Didot" w:cs="Didot"/>
          <w:i/>
          <w:sz w:val="22"/>
          <w:szCs w:val="22"/>
        </w:rPr>
        <w:t>Police Act</w:t>
      </w:r>
      <w:r w:rsidRPr="006916FC">
        <w:rPr>
          <w:rFonts w:ascii="Didot" w:eastAsia="Times New Roman" w:hAnsi="Didot" w:cs="Didot"/>
          <w:sz w:val="22"/>
          <w:szCs w:val="22"/>
        </w:rPr>
        <w:t xml:space="preserve"> and </w:t>
      </w:r>
      <w:r w:rsidRPr="006916FC">
        <w:rPr>
          <w:rFonts w:ascii="Didot" w:eastAsia="Times New Roman" w:hAnsi="Didot" w:cs="Didot"/>
          <w:i/>
          <w:sz w:val="22"/>
          <w:szCs w:val="22"/>
        </w:rPr>
        <w:t>Police Regulations</w:t>
      </w:r>
      <w:r w:rsidRPr="006916FC">
        <w:rPr>
          <w:rFonts w:ascii="Didot" w:eastAsia="Times New Roman" w:hAnsi="Didot" w:cs="Didot"/>
          <w:sz w:val="22"/>
          <w:szCs w:val="22"/>
        </w:rPr>
        <w:t xml:space="preserve"> provided for internal disciplinary measures and mechanisms in the Nigeria Police Force. Section 339 and 340 of Police Act (</w:t>
      </w:r>
      <w:r w:rsidRPr="006916FC">
        <w:rPr>
          <w:rFonts w:ascii="Didot" w:eastAsia="Times New Roman" w:hAnsi="Didot" w:cs="Didot"/>
          <w:i/>
          <w:sz w:val="22"/>
          <w:szCs w:val="22"/>
        </w:rPr>
        <w:t>CAP 359 of the Laws of the Federation of Nigeria, 1990)</w:t>
      </w:r>
      <w:r w:rsidRPr="006916FC">
        <w:rPr>
          <w:rFonts w:ascii="Didot" w:eastAsia="Times New Roman" w:hAnsi="Didot" w:cs="Didot"/>
          <w:sz w:val="22"/>
          <w:szCs w:val="22"/>
        </w:rPr>
        <w:t xml:space="preserve"> provide for the standards of conduct and attributes required of a police officer. Section 341 of the </w:t>
      </w:r>
      <w:r w:rsidRPr="006916FC">
        <w:rPr>
          <w:rFonts w:ascii="Didot" w:eastAsia="Times New Roman" w:hAnsi="Didot" w:cs="Didot"/>
          <w:i/>
          <w:sz w:val="22"/>
          <w:szCs w:val="22"/>
        </w:rPr>
        <w:t>Police Act and Regulations</w:t>
      </w:r>
      <w:r w:rsidRPr="006916FC">
        <w:rPr>
          <w:rFonts w:ascii="Didot" w:eastAsia="Times New Roman" w:hAnsi="Didot" w:cs="Didot"/>
          <w:sz w:val="22"/>
          <w:szCs w:val="22"/>
        </w:rPr>
        <w:t xml:space="preserve"> provides for personal liability for misconduct. The First Schedule of the </w:t>
      </w:r>
      <w:r w:rsidRPr="006916FC">
        <w:rPr>
          <w:rFonts w:ascii="Didot" w:eastAsia="Times New Roman" w:hAnsi="Didot" w:cs="Didot"/>
          <w:i/>
          <w:sz w:val="22"/>
          <w:szCs w:val="22"/>
        </w:rPr>
        <w:t>Police Regulations</w:t>
      </w:r>
      <w:r w:rsidRPr="006916FC">
        <w:rPr>
          <w:rFonts w:ascii="Didot" w:eastAsia="Times New Roman" w:hAnsi="Didot" w:cs="Didot"/>
          <w:sz w:val="22"/>
          <w:szCs w:val="22"/>
        </w:rPr>
        <w:t xml:space="preserve"> listed several offences which are referred to as offences against discipline and which are subject to internal disciplinary processes and sanctions. Notwithstanding these and </w:t>
      </w:r>
      <w:r w:rsidRPr="006916FC">
        <w:rPr>
          <w:rFonts w:ascii="Didot" w:eastAsia="Times New Roman" w:hAnsi="Didot" w:cs="Didot"/>
          <w:sz w:val="22"/>
          <w:szCs w:val="22"/>
        </w:rPr>
        <w:lastRenderedPageBreak/>
        <w:t>other elaborate oversight and accountability mechanisms, the Nigeria Police Force and its officials are not effective and accountable. Police misbehaviours in Nigeria are not entirely due to lack of rules or accountability mechanisms but are rather due to ineffective enforcement and lack of compliance.</w:t>
      </w:r>
    </w:p>
    <w:p w14:paraId="6BE9485A" w14:textId="77777777" w:rsidR="00B552DA" w:rsidRPr="006916FC" w:rsidRDefault="00B552DA" w:rsidP="008A7E29">
      <w:pPr>
        <w:jc w:val="both"/>
        <w:rPr>
          <w:rFonts w:ascii="Didot" w:eastAsia="Times New Roman" w:hAnsi="Didot" w:cs="Didot"/>
        </w:rPr>
      </w:pPr>
    </w:p>
    <w:p w14:paraId="6F898859" w14:textId="77777777" w:rsidR="00B552DA" w:rsidRPr="006916FC" w:rsidRDefault="00B552DA" w:rsidP="008A7E29">
      <w:pPr>
        <w:jc w:val="both"/>
        <w:rPr>
          <w:rFonts w:ascii="Didot" w:eastAsia="Times New Roman" w:hAnsi="Didot" w:cs="Didot"/>
          <w:b/>
        </w:rPr>
      </w:pPr>
      <w:r w:rsidRPr="006916FC">
        <w:rPr>
          <w:rFonts w:ascii="Didot" w:eastAsia="Times New Roman" w:hAnsi="Didot" w:cs="Didot"/>
          <w:b/>
        </w:rPr>
        <w:t>Conclusion and recommendations</w:t>
      </w:r>
    </w:p>
    <w:p w14:paraId="0A40AEA7" w14:textId="77777777" w:rsidR="00526673" w:rsidRPr="006916FC" w:rsidRDefault="00526673" w:rsidP="008A7E29">
      <w:pPr>
        <w:jc w:val="both"/>
        <w:rPr>
          <w:rFonts w:ascii="Didot" w:eastAsia="Times New Roman" w:hAnsi="Didot" w:cs="Didot"/>
          <w:b/>
        </w:rPr>
      </w:pPr>
    </w:p>
    <w:p w14:paraId="6E78FAEE"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sz w:val="22"/>
          <w:szCs w:val="22"/>
        </w:rPr>
        <w:t xml:space="preserve">Police efficiency and accountability are determined by the political system of a country and dynamics within the police organisation as well as the relationships between the police and citizens. Respondents in the National Criminal Victimization Survey for 2011 recommended the following measures for strengthening the Nigeria Police Force: more training (28.3%); provision of better equipment and facilities (23.9%); more discipline and supervision (oversight) by the government (17.6%); better remuneration (9.8%); adequate funding (9.0%), and greater autonomy from government interference (5.5%). </w:t>
      </w:r>
    </w:p>
    <w:p w14:paraId="323F7A7E" w14:textId="77777777" w:rsidR="00B552DA" w:rsidRPr="006916FC" w:rsidRDefault="00B552DA" w:rsidP="008A7E29">
      <w:pPr>
        <w:jc w:val="both"/>
        <w:rPr>
          <w:rFonts w:ascii="Didot" w:eastAsia="Times New Roman" w:hAnsi="Didot" w:cs="Didot"/>
          <w:sz w:val="22"/>
          <w:szCs w:val="22"/>
        </w:rPr>
      </w:pPr>
    </w:p>
    <w:p w14:paraId="484AFB54"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sz w:val="22"/>
          <w:szCs w:val="22"/>
        </w:rPr>
        <w:t xml:space="preserve">Over the past ten years, the Nigerian federal government established three presidential police reform committees (2006, 2008 and 2012) with identical terms of reference, in particular to identify causes of police inefficiency and make appropriate recommendations. But the government has demonstrated a general lack of political will in implementing the recommendations even though they do not involve fundamental changes. Thus, the government appears to be content with ineffective and unaccountable police force, provided the regime tenure protection is prioritized over citizens’ security and public safety. </w:t>
      </w:r>
    </w:p>
    <w:p w14:paraId="7F98B142" w14:textId="77777777" w:rsidR="00B552DA" w:rsidRPr="006916FC" w:rsidRDefault="00B552DA" w:rsidP="008A7E29">
      <w:pPr>
        <w:jc w:val="both"/>
        <w:rPr>
          <w:rFonts w:ascii="Didot" w:eastAsia="Times New Roman" w:hAnsi="Didot" w:cs="Didot"/>
          <w:sz w:val="22"/>
          <w:szCs w:val="22"/>
        </w:rPr>
      </w:pPr>
    </w:p>
    <w:p w14:paraId="1FD538D3" w14:textId="77777777" w:rsidR="00B552DA" w:rsidRPr="006916FC" w:rsidRDefault="00B552DA" w:rsidP="008A7E29">
      <w:pPr>
        <w:jc w:val="both"/>
        <w:rPr>
          <w:rFonts w:ascii="Didot" w:eastAsia="Times New Roman" w:hAnsi="Didot" w:cs="Didot"/>
          <w:sz w:val="22"/>
          <w:szCs w:val="22"/>
          <w:lang w:val="en-US"/>
        </w:rPr>
      </w:pPr>
      <w:r w:rsidRPr="006916FC">
        <w:rPr>
          <w:rFonts w:ascii="Didot" w:eastAsia="Times New Roman" w:hAnsi="Didot" w:cs="Didot"/>
          <w:sz w:val="22"/>
          <w:szCs w:val="22"/>
        </w:rPr>
        <w:t xml:space="preserve">Effective and accountable police and policing in Nigeria require the deepening of democracy and good governance culture; reform of the police force, including the laws on its structure, composition, functions, powers and oversight. </w:t>
      </w:r>
      <w:r w:rsidRPr="006916FC">
        <w:rPr>
          <w:rFonts w:ascii="Didot" w:eastAsia="Times New Roman" w:hAnsi="Didot" w:cs="Didot"/>
          <w:sz w:val="22"/>
          <w:szCs w:val="22"/>
          <w:lang w:val="en-US"/>
        </w:rPr>
        <w:t xml:space="preserve">The following measures are recommended: decentralized and effectively coordinated multi-level police authorities at the federal, state and local government levels; adoption and institutionalization of democratic policing culture, including the elements captured in the ideas of policing for people and policing through human rights (Mastrofiski 1999; Greene 2010) to enhance public-police partnership which is a precondition to police efficiency and legitimacy; legal provisions stressing respect for the rule of law and human rights by the police; measures to reduce political and executive interference and manipulation; effective anti-corruption measures; security of tenure for police executives and commanders; improved human resources management (personnel and training need analysis, recruitment, training, specialization, deployment, remuneration, professional standards and discipline, insurance and retirement benefits); strong and coordinated internal and external professional standards and accountability/oversight mechanisms (for police performance, conduct and resource management); adequate and sustained resources. Proper implementation of these measures will enhance police capacity to prevent and control violence in the country. </w:t>
      </w:r>
    </w:p>
    <w:p w14:paraId="51F1B644" w14:textId="77777777" w:rsidR="00B552DA" w:rsidRPr="006916FC" w:rsidRDefault="00B552DA" w:rsidP="008A7E29">
      <w:pPr>
        <w:jc w:val="both"/>
        <w:rPr>
          <w:rFonts w:ascii="Didot" w:eastAsia="Times New Roman" w:hAnsi="Didot" w:cs="Didot"/>
          <w:sz w:val="22"/>
          <w:szCs w:val="22"/>
          <w:lang w:val="en-US"/>
        </w:rPr>
      </w:pPr>
    </w:p>
    <w:p w14:paraId="40EA30B6" w14:textId="77777777" w:rsidR="00B552DA" w:rsidRPr="006916FC" w:rsidRDefault="00B552DA" w:rsidP="008A7E29">
      <w:pPr>
        <w:jc w:val="both"/>
        <w:rPr>
          <w:rFonts w:ascii="Didot" w:eastAsia="Times New Roman" w:hAnsi="Didot" w:cs="Didot"/>
          <w:sz w:val="22"/>
          <w:szCs w:val="22"/>
        </w:rPr>
      </w:pPr>
      <w:r w:rsidRPr="006916FC">
        <w:rPr>
          <w:rFonts w:ascii="Didot" w:eastAsia="Times New Roman" w:hAnsi="Didot" w:cs="Didot"/>
          <w:sz w:val="22"/>
          <w:szCs w:val="22"/>
        </w:rPr>
        <w:t xml:space="preserve">The government needs to demonstrate political will in enhancing police efficiency and accountability by strengthening the Police Council and Police Service Commission to perform their constitutional roles of organizing, administering, equipping and overseeing the Nigeria Police Force. The analysis in the paper will </w:t>
      </w:r>
      <w:r w:rsidRPr="006916FC">
        <w:rPr>
          <w:rFonts w:ascii="Didot" w:eastAsia="Times New Roman" w:hAnsi="Didot" w:cs="Didot"/>
          <w:sz w:val="22"/>
          <w:szCs w:val="22"/>
        </w:rPr>
        <w:lastRenderedPageBreak/>
        <w:t>aid the understanding of the various factors associated with the ineffectiveness of the police in combatting the complex and growing culture of violence and impunity in the country. It will also aid the development, adoption and implementation of relevant policies to enhance police efficiency and accountability.</w:t>
      </w:r>
    </w:p>
    <w:p w14:paraId="735B8012" w14:textId="77777777" w:rsidR="00160E26" w:rsidRPr="006916FC" w:rsidRDefault="00160E26" w:rsidP="008A7E29">
      <w:pPr>
        <w:jc w:val="both"/>
        <w:rPr>
          <w:rFonts w:ascii="Didot" w:eastAsia="Times New Roman" w:hAnsi="Didot" w:cs="Didot"/>
          <w:sz w:val="22"/>
          <w:szCs w:val="22"/>
        </w:rPr>
        <w:sectPr w:rsidR="00160E26" w:rsidRPr="006916FC" w:rsidSect="00160E26">
          <w:type w:val="continuous"/>
          <w:pgSz w:w="11900" w:h="16840"/>
          <w:pgMar w:top="1440" w:right="1800" w:bottom="1440" w:left="1800" w:header="708" w:footer="708" w:gutter="0"/>
          <w:cols w:space="708"/>
          <w:docGrid w:linePitch="360"/>
        </w:sectPr>
      </w:pPr>
    </w:p>
    <w:p w14:paraId="184D1718" w14:textId="77777777" w:rsidR="00362AAD" w:rsidRPr="006916FC" w:rsidRDefault="00B552DA" w:rsidP="008A7E29">
      <w:pPr>
        <w:jc w:val="both"/>
        <w:rPr>
          <w:rFonts w:ascii="Didot" w:eastAsia="Times New Roman" w:hAnsi="Didot" w:cs="Didot"/>
          <w:b/>
          <w:sz w:val="22"/>
          <w:szCs w:val="22"/>
        </w:rPr>
      </w:pPr>
      <w:r w:rsidRPr="006916FC">
        <w:rPr>
          <w:rFonts w:ascii="Didot" w:eastAsia="Times New Roman" w:hAnsi="Didot" w:cs="Didot"/>
          <w:sz w:val="22"/>
          <w:szCs w:val="22"/>
        </w:rPr>
        <w:lastRenderedPageBreak/>
        <w:t xml:space="preserve"> </w:t>
      </w:r>
    </w:p>
    <w:p w14:paraId="607BC491" w14:textId="77777777" w:rsidR="000623D9" w:rsidRPr="006916FC" w:rsidRDefault="000623D9" w:rsidP="008A7E29">
      <w:pPr>
        <w:widowControl w:val="0"/>
        <w:pBdr>
          <w:bottom w:val="single" w:sz="6" w:space="1" w:color="auto"/>
        </w:pBdr>
        <w:autoSpaceDE w:val="0"/>
        <w:autoSpaceDN w:val="0"/>
        <w:adjustRightInd w:val="0"/>
        <w:spacing w:after="200"/>
        <w:jc w:val="both"/>
        <w:rPr>
          <w:rFonts w:ascii="Didot" w:hAnsi="Didot" w:cs="Didot"/>
          <w:b/>
          <w:bCs/>
          <w:color w:val="1A1A1A"/>
          <w:sz w:val="28"/>
          <w:szCs w:val="28"/>
          <w:lang w:val="en-US"/>
        </w:rPr>
      </w:pPr>
    </w:p>
    <w:p w14:paraId="0730C825" w14:textId="77777777" w:rsidR="00362AAD" w:rsidRPr="006916FC" w:rsidRDefault="00362AAD" w:rsidP="008A7E29">
      <w:pPr>
        <w:pStyle w:val="Heading2"/>
        <w:jc w:val="both"/>
        <w:rPr>
          <w:rFonts w:ascii="Didot" w:hAnsi="Didot" w:cs="Didot"/>
          <w:color w:val="auto"/>
          <w:sz w:val="34"/>
          <w:szCs w:val="34"/>
        </w:rPr>
      </w:pPr>
      <w:bookmarkStart w:id="120" w:name="_Toc272639940"/>
      <w:bookmarkStart w:id="121" w:name="_Toc272645063"/>
      <w:r w:rsidRPr="006916FC">
        <w:rPr>
          <w:rFonts w:ascii="Didot" w:hAnsi="Didot" w:cs="Didot"/>
          <w:color w:val="auto"/>
          <w:sz w:val="34"/>
          <w:szCs w:val="34"/>
        </w:rPr>
        <w:t>Daniel Ortega</w:t>
      </w:r>
      <w:bookmarkEnd w:id="120"/>
      <w:bookmarkEnd w:id="121"/>
    </w:p>
    <w:p w14:paraId="514B11BE"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757AE245" w14:textId="77777777" w:rsidR="00362AAD" w:rsidRPr="006916FC" w:rsidRDefault="00362AAD"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06475F11" w14:textId="77777777" w:rsidR="00362AAD" w:rsidRPr="006916FC" w:rsidRDefault="00362A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6916FC">
        <w:rPr>
          <w:rFonts w:ascii="Didot" w:hAnsi="Didot" w:cs="Didot"/>
          <w:color w:val="121212"/>
          <w:sz w:val="22"/>
          <w:szCs w:val="22"/>
          <w:lang w:val="en-US"/>
        </w:rPr>
        <w:t>Daniel E. Ortega is Senior Research Economist and Impact Evaluation Coordinator at CAF – and associate professor at IESA Business School in Caracas. His research has broadly been in the area of microeconomics of development, with a recent focus on social experimentation and impact evaluation of anti-crime interventions in Latin America. He has coordinated CAF's research program on citizen security and has recently led several experiments with tax authorities to evaluate strategies for increasing tax compliance. His research has been published in several peer reviewed scholarly journals. He holds a PhD in Economics from the University of Maryland.</w:t>
      </w:r>
    </w:p>
    <w:p w14:paraId="7B16B529"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3130E99F" w14:textId="77777777" w:rsidR="00526673" w:rsidRPr="006916FC" w:rsidRDefault="00526673" w:rsidP="008A7E29">
      <w:pPr>
        <w:jc w:val="both"/>
        <w:rPr>
          <w:rFonts w:ascii="Didot" w:hAnsi="Didot" w:cs="Didot"/>
          <w:b/>
        </w:rPr>
      </w:pPr>
      <w:r w:rsidRPr="006916FC">
        <w:rPr>
          <w:rFonts w:ascii="Didot" w:hAnsi="Didot" w:cs="Didot"/>
          <w:b/>
        </w:rPr>
        <w:t>Abstract</w:t>
      </w:r>
    </w:p>
    <w:p w14:paraId="5DC5831D" w14:textId="77777777" w:rsidR="00B86B1F" w:rsidRPr="006916FC" w:rsidRDefault="00B86B1F" w:rsidP="008A7E29">
      <w:pPr>
        <w:jc w:val="both"/>
        <w:rPr>
          <w:rFonts w:ascii="Didot" w:hAnsi="Didot" w:cs="Didot"/>
          <w:b/>
        </w:rPr>
      </w:pPr>
    </w:p>
    <w:p w14:paraId="7D43E58B" w14:textId="390AC81C" w:rsidR="00B86B1F" w:rsidRPr="006916FC" w:rsidRDefault="00B86B1F" w:rsidP="008A7E29">
      <w:pPr>
        <w:jc w:val="both"/>
        <w:rPr>
          <w:rFonts w:ascii="Didot" w:hAnsi="Didot" w:cs="Didot"/>
          <w:b/>
        </w:rPr>
      </w:pPr>
      <w:r w:rsidRPr="006916FC">
        <w:rPr>
          <w:rFonts w:ascii="Didot" w:hAnsi="Didot" w:cs="Didot"/>
          <w:b/>
        </w:rPr>
        <w:t>Social Experimentation and Evaluation for Better Policies</w:t>
      </w:r>
    </w:p>
    <w:p w14:paraId="3C7F38D3" w14:textId="77777777" w:rsidR="009D3389" w:rsidRPr="006916FC" w:rsidRDefault="009D3389" w:rsidP="008A7E29">
      <w:pPr>
        <w:jc w:val="both"/>
        <w:rPr>
          <w:rFonts w:ascii="Didot" w:hAnsi="Didot" w:cs="Didot"/>
          <w:b/>
        </w:rPr>
      </w:pPr>
    </w:p>
    <w:p w14:paraId="77B3DC1A" w14:textId="77777777" w:rsidR="00526673" w:rsidRPr="00F47702" w:rsidRDefault="00526673" w:rsidP="008A7E29">
      <w:pPr>
        <w:jc w:val="both"/>
        <w:rPr>
          <w:rFonts w:ascii="Didot" w:hAnsi="Didot" w:cs="Didot"/>
          <w:sz w:val="22"/>
          <w:szCs w:val="22"/>
        </w:rPr>
      </w:pPr>
      <w:r w:rsidRPr="00F47702">
        <w:rPr>
          <w:rFonts w:ascii="Didot" w:hAnsi="Didot" w:cs="Didot"/>
          <w:sz w:val="22"/>
          <w:szCs w:val="22"/>
        </w:rPr>
        <w:t xml:space="preserve">Social experimentation and evaluation is being increasingly used for broadening the evidence base of public policy. However, policing and crime prevention are not areas area that have benefited much from this trend in Latin America, and leading examples of what is possible may be useful for stimulating this agenda. I will present results from two randomized evaluations of police training programs in Argentina and Colombia and an ongoing experimental evaluation of a hotspots program in the second largest municipality in Caracas, Venezuela. </w:t>
      </w:r>
    </w:p>
    <w:p w14:paraId="4A0FCF66" w14:textId="77777777" w:rsidR="00526673" w:rsidRPr="00F47702" w:rsidRDefault="00526673" w:rsidP="008A7E29">
      <w:pPr>
        <w:jc w:val="both"/>
        <w:rPr>
          <w:rFonts w:ascii="Didot" w:hAnsi="Didot" w:cs="Didot"/>
          <w:sz w:val="22"/>
          <w:szCs w:val="22"/>
        </w:rPr>
      </w:pPr>
    </w:p>
    <w:p w14:paraId="5B9462EE" w14:textId="77777777" w:rsidR="00526673" w:rsidRPr="00F47702" w:rsidRDefault="00526673" w:rsidP="008A7E29">
      <w:pPr>
        <w:pBdr>
          <w:bottom w:val="single" w:sz="6" w:space="1" w:color="auto"/>
        </w:pBdr>
        <w:jc w:val="both"/>
        <w:rPr>
          <w:rFonts w:ascii="Didot" w:hAnsi="Didot" w:cs="Didot"/>
          <w:sz w:val="22"/>
          <w:szCs w:val="22"/>
        </w:rPr>
      </w:pPr>
      <w:r w:rsidRPr="00F47702">
        <w:rPr>
          <w:rFonts w:ascii="Didot" w:hAnsi="Didot" w:cs="Didot"/>
          <w:sz w:val="22"/>
          <w:szCs w:val="22"/>
        </w:rPr>
        <w:t xml:space="preserve">One of the main challenges for promoting evidence-based decision making to reduce violence is to create the demand for scientific knowledge by policymakers. Above and beyond the estimated impacts from the three evaluations discussed here, the process by which each of these projects came to be leaves significant lessons for advancing this agenda in the region and which has shaped efforts led by CAF – Development Bank of Latin America – to catalyze evaluation efforts in violence reduction and other programs. Specifically, an evaluation project is much more likely to get off the ground and be supported into later phases by the authorities when the policymaker’s questions or concerns are at the center of the research effort, and when the process of experimentation and evaluation is rightly seen as a management tool and not as an externally imposed condition or requirement. </w:t>
      </w:r>
    </w:p>
    <w:p w14:paraId="66A42D5C" w14:textId="77777777" w:rsidR="00216034" w:rsidRPr="006916FC" w:rsidRDefault="00216034" w:rsidP="008A7E29">
      <w:pPr>
        <w:pBdr>
          <w:bottom w:val="single" w:sz="6" w:space="1" w:color="auto"/>
        </w:pBdr>
        <w:jc w:val="both"/>
        <w:rPr>
          <w:rFonts w:ascii="Didot" w:hAnsi="Didot" w:cs="Didot"/>
          <w:sz w:val="22"/>
          <w:szCs w:val="22"/>
        </w:rPr>
      </w:pPr>
    </w:p>
    <w:p w14:paraId="436D07A6" w14:textId="77777777" w:rsidR="00216034" w:rsidRPr="006916FC" w:rsidRDefault="00216034" w:rsidP="008A7E29">
      <w:pPr>
        <w:jc w:val="both"/>
        <w:rPr>
          <w:rFonts w:ascii="Didot" w:hAnsi="Didot" w:cs="Didot"/>
          <w:sz w:val="22"/>
          <w:szCs w:val="22"/>
        </w:rPr>
      </w:pPr>
    </w:p>
    <w:p w14:paraId="3B6FF3DC" w14:textId="441E0467" w:rsidR="00E91FDB" w:rsidRPr="00BB521F" w:rsidRDefault="009D3389" w:rsidP="00BB521F">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t xml:space="preserve">Summary </w:t>
      </w:r>
    </w:p>
    <w:p w14:paraId="48906E3E" w14:textId="77777777" w:rsidR="00B86B1F" w:rsidRPr="006916FC" w:rsidRDefault="00B86B1F" w:rsidP="008A7E29">
      <w:pPr>
        <w:jc w:val="both"/>
        <w:rPr>
          <w:rFonts w:ascii="Didot" w:hAnsi="Didot" w:cs="Didot"/>
          <w:b/>
        </w:rPr>
      </w:pPr>
      <w:r w:rsidRPr="006916FC">
        <w:rPr>
          <w:rFonts w:ascii="Didot" w:hAnsi="Didot" w:cs="Didot"/>
          <w:b/>
        </w:rPr>
        <w:t>Social Experimentation and Evaluation for Better Policies</w:t>
      </w:r>
    </w:p>
    <w:p w14:paraId="6B76D32E" w14:textId="77777777" w:rsidR="00B86B1F" w:rsidRPr="006916FC" w:rsidRDefault="00B86B1F" w:rsidP="008A7E29">
      <w:pPr>
        <w:jc w:val="both"/>
        <w:rPr>
          <w:rFonts w:ascii="Didot" w:hAnsi="Didot" w:cs="Didot"/>
          <w:sz w:val="22"/>
          <w:szCs w:val="22"/>
        </w:rPr>
      </w:pPr>
    </w:p>
    <w:p w14:paraId="67E214F7" w14:textId="77777777" w:rsidR="00160E26" w:rsidRPr="006916FC" w:rsidRDefault="00160E26" w:rsidP="008A7E29">
      <w:pPr>
        <w:jc w:val="both"/>
        <w:rPr>
          <w:rFonts w:ascii="Didot" w:hAnsi="Didot" w:cs="Didot"/>
          <w:sz w:val="22"/>
          <w:szCs w:val="22"/>
        </w:rPr>
        <w:sectPr w:rsidR="00160E26" w:rsidRPr="006916FC" w:rsidSect="00B86B1F">
          <w:type w:val="continuous"/>
          <w:pgSz w:w="11900" w:h="16840"/>
          <w:pgMar w:top="1440" w:right="1800" w:bottom="1440" w:left="1800" w:header="708" w:footer="708" w:gutter="0"/>
          <w:cols w:space="708"/>
          <w:docGrid w:linePitch="360"/>
        </w:sectPr>
      </w:pPr>
    </w:p>
    <w:p w14:paraId="50EB1FBB"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lastRenderedPageBreak/>
        <w:t xml:space="preserve">Every government is constantly making decisions on a grand or a small scale. With varying degrees of sophistication, these decisions are based on someone’s notion of how the world works; on someone’s belief about the ways in which each particular intervention will affect our society. All too often these beliefs have no grounding on scientific knowledge, but are rather the result of habit-think passed down through the genealogy of policy practice. The developing world’s greatest problem is not so much the lack of resources to implement the right policies but, rather, the lack of knowledge about what those right policies are. </w:t>
      </w:r>
    </w:p>
    <w:p w14:paraId="672D167B" w14:textId="77777777" w:rsidR="009D3389" w:rsidRPr="00F47702" w:rsidRDefault="009D3389" w:rsidP="008A7E29">
      <w:pPr>
        <w:jc w:val="both"/>
        <w:rPr>
          <w:rFonts w:ascii="Didot" w:hAnsi="Didot" w:cs="Didot"/>
          <w:sz w:val="22"/>
          <w:szCs w:val="22"/>
        </w:rPr>
      </w:pPr>
    </w:p>
    <w:p w14:paraId="47C46CD0"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This is true in many areas: state capacity building, education, health, social assistance and, importantly, citizen security. There is great need for a deeper knowledge base for policymaking and international organizations like CAF - Development Bank of Latin America - can play a significant role in catalyzing the production and use of this base. However, a key challenge is that what appears to work well in one context may not be feasible in another; even if feasible, it may turn out to have much smaller or even counterproductive effects. Overlooking this has often led to unsuccessful adoption of policies from foreign places. </w:t>
      </w:r>
    </w:p>
    <w:p w14:paraId="558F3244" w14:textId="77777777" w:rsidR="009D3389" w:rsidRPr="00F47702" w:rsidRDefault="009D3389" w:rsidP="008A7E29">
      <w:pPr>
        <w:jc w:val="both"/>
        <w:rPr>
          <w:rFonts w:ascii="Didot" w:hAnsi="Didot" w:cs="Didot"/>
          <w:sz w:val="22"/>
          <w:szCs w:val="22"/>
        </w:rPr>
      </w:pPr>
    </w:p>
    <w:p w14:paraId="71883836"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Thus, impact evaluation and experimentation in specific contexts is a powerful management tool for public policy, and is increasingly being embraced by public officials in Latin America as a way to improve the effectiveness of their policy initiatives. A good understanding of the mechanisms through which policies affect outcomes is essential for translating results from one context, to another. Through its PILAR initiative (Policy, Innovation, Learning, And Results), CAF is helping public sector authorities experimentally evaluate the impact of their initiatives in policing in several countries in the region. </w:t>
      </w:r>
    </w:p>
    <w:p w14:paraId="11E163D6" w14:textId="77777777" w:rsidR="009D3389" w:rsidRPr="00F47702" w:rsidRDefault="009D3389" w:rsidP="008A7E29">
      <w:pPr>
        <w:jc w:val="both"/>
        <w:rPr>
          <w:rFonts w:ascii="Didot" w:hAnsi="Didot" w:cs="Didot"/>
          <w:sz w:val="22"/>
          <w:szCs w:val="22"/>
        </w:rPr>
      </w:pPr>
    </w:p>
    <w:p w14:paraId="0EBFB1BB"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In Colombia, for example, the National Police launched its landmark “Plan Cuadrantes” in eight metropolitan areas in 2010, a major community policing initiative that required patrol police officers to engage citizens in conversation, mediate in conflicts, and generally support their empowerment. Four months after a set of instructions with specific protocols for patrol police we issued, a preliminary report on the implementation of the plan showed a marked clash between the existing culture and the proposed community policing approach. This led to a significant soft skills training effort of over 9,000 sworn officers, which CAF helped turn into the first large scale randomized controlled trial on policing in Latin America. 120 police stations were randomly assigned to one of three cohorts which received the training at different times, with a lag of 3 months between the first and second and 5.5 months between the second and third cohorts. </w:t>
      </w:r>
    </w:p>
    <w:p w14:paraId="6B12141E" w14:textId="77777777" w:rsidR="009D3389" w:rsidRPr="00F47702" w:rsidRDefault="009D3389" w:rsidP="008A7E29">
      <w:pPr>
        <w:jc w:val="both"/>
        <w:rPr>
          <w:rFonts w:ascii="Didot" w:hAnsi="Didot" w:cs="Didot"/>
          <w:sz w:val="22"/>
          <w:szCs w:val="22"/>
        </w:rPr>
      </w:pPr>
    </w:p>
    <w:p w14:paraId="2F9AC427"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Official reports of crimes and contraventions were monitored throughout the period on a month-to-month basis, as well as a management and a culture survey taken both before the first cohort received training and after the first cohort was trained. The evaluation showed that the training was instrumental to improve police behavior and increase reporting, especially in high-crime areas. This result </w:t>
      </w:r>
      <w:r w:rsidRPr="00F47702">
        <w:rPr>
          <w:rFonts w:ascii="Didot" w:hAnsi="Didot" w:cs="Didot"/>
          <w:sz w:val="22"/>
          <w:szCs w:val="22"/>
        </w:rPr>
        <w:lastRenderedPageBreak/>
        <w:t>led the authorities not only to expand the program to smaller cities, but also to include soft skill building in the basic police training curricula (García, Mejía and Ortega, 2013). The main driver of this evaluation was the national police’s interest in getting their flagship program off the ground: the demand for scientific knowledge was grounded in a very specific interest on the part of the policymaker.</w:t>
      </w:r>
    </w:p>
    <w:p w14:paraId="5F63CC61" w14:textId="77777777" w:rsidR="009D3389" w:rsidRPr="00F47702" w:rsidRDefault="009D3389" w:rsidP="008A7E29">
      <w:pPr>
        <w:jc w:val="both"/>
        <w:rPr>
          <w:rFonts w:ascii="Didot" w:hAnsi="Didot" w:cs="Didot"/>
          <w:sz w:val="22"/>
          <w:szCs w:val="22"/>
        </w:rPr>
      </w:pPr>
    </w:p>
    <w:p w14:paraId="12A498A2"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Similarly, in Argentina the government put in place a rational use of force training program for the Federal Police as part of an effort to improve policing practices in favor of the safety of patrol officers and the community. The PILAR initiative helped the authorities implement an experimental evaluation of the program’s impact on the police’s attitudes towards their personal safety in risky situations involving one or more suspects, and the potential use of their firearm. Although, ultimately, the outcome of interest in this case would be the number of times treatment and control officers get involved in instances of unnecessary use of force or firearm engagement, this was not feasible within the initial timeframe of the study, although this outcome is being monitored continuously. The design incorporated a list experiment into a police survey, designed to elicit truthful responses to potentially uncomfortable or delicate questions. Despite the fact that the training program lasts only 1 week during the morning shift (and all day on Friday), the estimated impacts are significant: police officers are much more likely to value verbal communication when facing a suspect (</w:t>
      </w:r>
      <w:proofErr w:type="gramStart"/>
      <w:r w:rsidRPr="00F47702">
        <w:rPr>
          <w:rFonts w:ascii="Didot" w:hAnsi="Didot" w:cs="Didot"/>
          <w:sz w:val="22"/>
          <w:szCs w:val="22"/>
        </w:rPr>
        <w:t>68%</w:t>
      </w:r>
      <w:proofErr w:type="gramEnd"/>
      <w:r w:rsidRPr="00F47702">
        <w:rPr>
          <w:rFonts w:ascii="Didot" w:hAnsi="Didot" w:cs="Didot"/>
          <w:sz w:val="22"/>
          <w:szCs w:val="22"/>
        </w:rPr>
        <w:t xml:space="preserve"> in the treatment group as compared to 47% in the control group) as a result of the training, are more likely to “first assess the safety and state of consciousness of the victim in a dangerous situation” (70% treatment versus 54% control) and are much less likely to risk their lives to prevent a robbery (38% treatment versus 51% control). </w:t>
      </w:r>
    </w:p>
    <w:p w14:paraId="4F8027D6" w14:textId="77777777" w:rsidR="009D3389" w:rsidRPr="00F47702" w:rsidRDefault="009D3389" w:rsidP="008A7E29">
      <w:pPr>
        <w:jc w:val="both"/>
        <w:rPr>
          <w:rFonts w:ascii="Didot" w:hAnsi="Didot" w:cs="Didot"/>
          <w:sz w:val="22"/>
          <w:szCs w:val="22"/>
        </w:rPr>
      </w:pPr>
    </w:p>
    <w:p w14:paraId="0285244C"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The promising impacts of the training program unveiled by this evaluation are currently being taken into consideration for the allocation of resources to training or other spending categories within the Federal Police and the Ministry of Security. In addition, program administrators have used some of the insights to make adjustments to the curriculum and to prioritize certain lower skilled officers. They are also considering changing the delivery frequency and intensity, as the evaluation showed that content that is complementary to their daily routine gets reinforced over time (i.e. “risk awareness”), while content that is not (i.e. “verbal communication is important when facing a suspect”), tends to be gradually forgotten. This initiative also arose from the Security Ministry’s need to better understand whether the resources devoted to this kind of program were worthwhile or not and to be able to bring this information to the budget negotiating table.</w:t>
      </w:r>
    </w:p>
    <w:p w14:paraId="48CE2C22" w14:textId="77777777" w:rsidR="009D3389" w:rsidRPr="00F47702" w:rsidRDefault="009D3389" w:rsidP="008A7E29">
      <w:pPr>
        <w:jc w:val="both"/>
        <w:rPr>
          <w:rFonts w:ascii="Didot" w:hAnsi="Didot" w:cs="Didot"/>
          <w:sz w:val="22"/>
          <w:szCs w:val="22"/>
        </w:rPr>
      </w:pPr>
    </w:p>
    <w:p w14:paraId="287FFADC"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Finally, in Venezuela, the municipality of Sucre is the second largest (with a population of one million) in the city of Caracas, and includes one of the largest and most violent urban slums in Latin America: Petare. In this municipality, </w:t>
      </w:r>
      <w:proofErr w:type="gramStart"/>
      <w:r w:rsidRPr="00F47702">
        <w:rPr>
          <w:rFonts w:ascii="Didot" w:hAnsi="Didot" w:cs="Didot"/>
          <w:sz w:val="22"/>
          <w:szCs w:val="22"/>
        </w:rPr>
        <w:t>80%</w:t>
      </w:r>
      <w:proofErr w:type="gramEnd"/>
      <w:r w:rsidRPr="00F47702">
        <w:rPr>
          <w:rFonts w:ascii="Didot" w:hAnsi="Didot" w:cs="Didot"/>
          <w:sz w:val="22"/>
          <w:szCs w:val="22"/>
        </w:rPr>
        <w:t xml:space="preserve"> of its 500 annual homicides occur in less than 6% of the street segments, a diagnosis that sparked a collaborative effort with the local police and municipal authorities to identify the area’s hotspots and design a randomized controlled trial to evaluate the effectiveness of a hotspots policing strategy for reducing the incidence of homicide. A total of 46 pairs of hotspots were selected for the experiment, and one in each pair randomly allocated to receive increased police presence of up to 4 daily visits </w:t>
      </w:r>
      <w:r w:rsidRPr="00F47702">
        <w:rPr>
          <w:rFonts w:ascii="Didot" w:hAnsi="Didot" w:cs="Didot"/>
          <w:sz w:val="22"/>
          <w:szCs w:val="22"/>
        </w:rPr>
        <w:lastRenderedPageBreak/>
        <w:t xml:space="preserve">of 15 minutes each – in line with the Koper (1995) principle – for an initial period of three months. </w:t>
      </w:r>
    </w:p>
    <w:p w14:paraId="50C7809E" w14:textId="77777777" w:rsidR="009D3389" w:rsidRPr="00F47702" w:rsidRDefault="009D3389" w:rsidP="008A7E29">
      <w:pPr>
        <w:jc w:val="both"/>
        <w:rPr>
          <w:rFonts w:ascii="Didot" w:hAnsi="Didot" w:cs="Didot"/>
          <w:sz w:val="22"/>
          <w:szCs w:val="22"/>
        </w:rPr>
      </w:pPr>
    </w:p>
    <w:p w14:paraId="109E1E2B"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Given that even homicide is a statistically infrequent event (even in this high violence area) the difference between the number of homicides in the treatment and control hotspots was not statistically or materially significant after the trial period, however, the careful monitoring system that was put in place helped the authorities gain better control of their human and physical resources. By drawing an electronic fence around each hotspot, we were able to create an alarm system that records exactly the amount of time each patrol (fitted with a GPS device) spends at the hotspots and therefore closely measure dosage delivered on a daily basis. The levels of compliance (delivered </w:t>
      </w:r>
      <w:proofErr w:type="gramStart"/>
      <w:r w:rsidRPr="00F47702">
        <w:rPr>
          <w:rFonts w:ascii="Didot" w:hAnsi="Didot" w:cs="Didot"/>
          <w:sz w:val="22"/>
          <w:szCs w:val="22"/>
        </w:rPr>
        <w:t>dosage / planned</w:t>
      </w:r>
      <w:proofErr w:type="gramEnd"/>
      <w:r w:rsidRPr="00F47702">
        <w:rPr>
          <w:rFonts w:ascii="Didot" w:hAnsi="Didot" w:cs="Didot"/>
          <w:sz w:val="22"/>
          <w:szCs w:val="22"/>
        </w:rPr>
        <w:t xml:space="preserve"> dosage) were strikingly low (around 18 – 20%) for several weeks, then increased to around 60% only to drop very low again. </w:t>
      </w:r>
    </w:p>
    <w:p w14:paraId="1CF81943" w14:textId="77777777" w:rsidR="009D3389" w:rsidRPr="00F47702" w:rsidRDefault="009D3389" w:rsidP="008A7E29">
      <w:pPr>
        <w:jc w:val="both"/>
        <w:rPr>
          <w:rFonts w:ascii="Didot" w:hAnsi="Didot" w:cs="Didot"/>
          <w:sz w:val="22"/>
          <w:szCs w:val="22"/>
        </w:rPr>
      </w:pPr>
    </w:p>
    <w:p w14:paraId="74EDD74F"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The focus of the research program has now shifted to the issue of compliance of the protocols on the part of the patrol police. While retaining the original experimental design, a survey of the entire municipal police force is being undertaken in order to better understand police officers’ motivations, incentives, opinion of the current leadership, among other issues. </w:t>
      </w:r>
      <w:proofErr w:type="gramStart"/>
      <w:r w:rsidRPr="00F47702">
        <w:rPr>
          <w:rFonts w:ascii="Didot" w:hAnsi="Didot" w:cs="Didot"/>
          <w:sz w:val="22"/>
          <w:szCs w:val="22"/>
        </w:rPr>
        <w:t>The goal is to identify areas where police behavior may be ‘nudged’</w:t>
      </w:r>
      <w:proofErr w:type="gramEnd"/>
      <w:r w:rsidRPr="00F47702">
        <w:rPr>
          <w:rFonts w:ascii="Didot" w:hAnsi="Didot" w:cs="Didot"/>
          <w:sz w:val="22"/>
          <w:szCs w:val="22"/>
        </w:rPr>
        <w:t xml:space="preserve"> or incentivized into compliance with the hotspots program’s protocols. A pilot of such incentive program or nudge intervention will also be experimentally evaluated, as is the policymaker’s hope. </w:t>
      </w:r>
    </w:p>
    <w:p w14:paraId="6369E5D6" w14:textId="77777777" w:rsidR="009D3389" w:rsidRPr="00F47702" w:rsidRDefault="009D3389" w:rsidP="008A7E29">
      <w:pPr>
        <w:jc w:val="both"/>
        <w:rPr>
          <w:rFonts w:ascii="Didot" w:hAnsi="Didot" w:cs="Didot"/>
          <w:sz w:val="22"/>
          <w:szCs w:val="22"/>
        </w:rPr>
      </w:pPr>
    </w:p>
    <w:p w14:paraId="70A3318F"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Once again, the guiding principle in this research program was the policymaker’s demand for quality quantitative knowledge on the effects of its intervention. This has allowed us to shift focus to the compliance matter as a symptom of a potentially much deeper issue of institutional capacity, or the causes of the causes as Sherman et. al. (2014) have termed it in the context of a similar policing experiment in Trinidad, but which has general relevance for all of Latin America and possibly the rest of the developing world as well.</w:t>
      </w:r>
    </w:p>
    <w:p w14:paraId="3FB12D97" w14:textId="77777777" w:rsidR="009D3389" w:rsidRPr="00F47702" w:rsidRDefault="009D3389" w:rsidP="008A7E29">
      <w:pPr>
        <w:jc w:val="both"/>
        <w:rPr>
          <w:rFonts w:ascii="Didot" w:hAnsi="Didot" w:cs="Didot"/>
          <w:sz w:val="22"/>
          <w:szCs w:val="22"/>
        </w:rPr>
      </w:pPr>
    </w:p>
    <w:p w14:paraId="0B2ED067" w14:textId="77777777" w:rsidR="009D3389" w:rsidRPr="00F47702" w:rsidRDefault="009D3389" w:rsidP="008A7E29">
      <w:pPr>
        <w:jc w:val="both"/>
        <w:rPr>
          <w:rFonts w:ascii="Didot" w:hAnsi="Didot" w:cs="Didot"/>
          <w:sz w:val="22"/>
          <w:szCs w:val="22"/>
        </w:rPr>
      </w:pPr>
      <w:r w:rsidRPr="00F47702">
        <w:rPr>
          <w:rFonts w:ascii="Didot" w:hAnsi="Didot" w:cs="Didot"/>
          <w:sz w:val="22"/>
          <w:szCs w:val="22"/>
        </w:rPr>
        <w:t xml:space="preserve">The general goal of the PILAR initiative is to contribute to a culture of evidence-based policymaking in criminal justice and other areas, by helping policymakers embrace social experimentation and impact evaluation as a tool for improving their initiatives, regardless of their size or scale. This process, however, requires that policymakers’ questions and concerns be placed as the top priority and scientific tools at the service of these questions. In our view, this is the only way that resistance to evaluation and experimentation will subside, and the only way in which the stream of policy innovation that constantly washes over Latin America will leave a knowledge footprint deep enough to change the tide of underdevelopment. </w:t>
      </w:r>
    </w:p>
    <w:p w14:paraId="1DFDAB07" w14:textId="77777777" w:rsidR="00160E26" w:rsidRPr="006916FC" w:rsidRDefault="00160E26" w:rsidP="008A7E29">
      <w:pPr>
        <w:widowControl w:val="0"/>
        <w:autoSpaceDE w:val="0"/>
        <w:autoSpaceDN w:val="0"/>
        <w:adjustRightInd w:val="0"/>
        <w:spacing w:after="240"/>
        <w:jc w:val="both"/>
        <w:rPr>
          <w:rFonts w:ascii="Didot" w:hAnsi="Didot" w:cs="Didot"/>
          <w:color w:val="121212"/>
          <w:sz w:val="22"/>
          <w:szCs w:val="22"/>
          <w:lang w:val="en-US"/>
        </w:rPr>
        <w:sectPr w:rsidR="00160E26" w:rsidRPr="006916FC" w:rsidSect="00160E26">
          <w:type w:val="continuous"/>
          <w:pgSz w:w="11900" w:h="16840"/>
          <w:pgMar w:top="1440" w:right="1800" w:bottom="1440" w:left="1800" w:header="708" w:footer="708" w:gutter="0"/>
          <w:cols w:space="708"/>
          <w:docGrid w:linePitch="360"/>
        </w:sectPr>
      </w:pPr>
    </w:p>
    <w:p w14:paraId="2796FA72" w14:textId="77777777" w:rsidR="00362AAD" w:rsidRPr="006916FC" w:rsidRDefault="00362AAD" w:rsidP="008A7E29">
      <w:pPr>
        <w:widowControl w:val="0"/>
        <w:pBdr>
          <w:bottom w:val="single" w:sz="6" w:space="1" w:color="auto"/>
        </w:pBdr>
        <w:autoSpaceDE w:val="0"/>
        <w:autoSpaceDN w:val="0"/>
        <w:adjustRightInd w:val="0"/>
        <w:spacing w:after="200"/>
        <w:jc w:val="both"/>
        <w:rPr>
          <w:rFonts w:ascii="Didot" w:hAnsi="Didot" w:cs="Didot"/>
          <w:color w:val="121212"/>
          <w:lang w:val="en-US"/>
        </w:rPr>
      </w:pPr>
    </w:p>
    <w:p w14:paraId="6612A527" w14:textId="4E9BC8F2" w:rsidR="00362AAD" w:rsidRPr="006916FC" w:rsidRDefault="00BB521F" w:rsidP="008A7E29">
      <w:pPr>
        <w:pStyle w:val="Heading2"/>
        <w:jc w:val="both"/>
        <w:rPr>
          <w:rFonts w:ascii="Didot" w:hAnsi="Didot" w:cs="Didot"/>
          <w:color w:val="auto"/>
          <w:sz w:val="34"/>
          <w:szCs w:val="34"/>
        </w:rPr>
      </w:pPr>
      <w:bookmarkStart w:id="122" w:name="_Toc272639941"/>
      <w:r>
        <w:rPr>
          <w:rFonts w:ascii="Didot" w:hAnsi="Didot" w:cs="Didot"/>
          <w:color w:val="auto"/>
          <w:sz w:val="34"/>
          <w:szCs w:val="34"/>
        </w:rPr>
        <w:br w:type="column"/>
      </w:r>
      <w:bookmarkStart w:id="123" w:name="_Toc272645064"/>
      <w:r w:rsidR="00362AAD" w:rsidRPr="006916FC">
        <w:rPr>
          <w:rFonts w:ascii="Didot" w:hAnsi="Didot" w:cs="Didot"/>
          <w:color w:val="auto"/>
          <w:sz w:val="34"/>
          <w:szCs w:val="34"/>
        </w:rPr>
        <w:lastRenderedPageBreak/>
        <w:t>Patrick Burton</w:t>
      </w:r>
      <w:bookmarkEnd w:id="122"/>
      <w:bookmarkEnd w:id="123"/>
    </w:p>
    <w:p w14:paraId="47F4942B"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7456BCC8" w14:textId="77777777" w:rsidR="00362AAD" w:rsidRPr="006916FC" w:rsidRDefault="00362AAD"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3E9528E9" w14:textId="77777777" w:rsidR="007A51A5" w:rsidRPr="00F47702" w:rsidRDefault="00362AAD"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r w:rsidRPr="00F47702">
        <w:rPr>
          <w:rFonts w:ascii="Didot" w:hAnsi="Didot" w:cs="Didot"/>
          <w:color w:val="121212"/>
          <w:sz w:val="22"/>
          <w:szCs w:val="22"/>
          <w:lang w:val="en-US"/>
        </w:rPr>
        <w:t>Patrick Burton is the Executive Director of the Centre for Justice and Crime Prevention (CJCP), a Cape Town-</w:t>
      </w:r>
      <w:proofErr w:type="gramStart"/>
      <w:r w:rsidRPr="00F47702">
        <w:rPr>
          <w:rFonts w:ascii="Didot" w:hAnsi="Didot" w:cs="Didot"/>
          <w:color w:val="121212"/>
          <w:sz w:val="22"/>
          <w:szCs w:val="22"/>
          <w:lang w:val="en-US"/>
        </w:rPr>
        <w:t>based  organization</w:t>
      </w:r>
      <w:proofErr w:type="gramEnd"/>
      <w:r w:rsidRPr="00F47702">
        <w:rPr>
          <w:rFonts w:ascii="Didot" w:hAnsi="Didot" w:cs="Didot"/>
          <w:color w:val="121212"/>
          <w:sz w:val="22"/>
          <w:szCs w:val="22"/>
          <w:lang w:val="en-US"/>
        </w:rPr>
        <w:t xml:space="preserve"> engaged in the field of crime and violence prevention.  Patrick holds an H.Dip. </w:t>
      </w:r>
      <w:proofErr w:type="gramStart"/>
      <w:r w:rsidRPr="00F47702">
        <w:rPr>
          <w:rFonts w:ascii="Didot" w:hAnsi="Didot" w:cs="Didot"/>
          <w:color w:val="121212"/>
          <w:sz w:val="22"/>
          <w:szCs w:val="22"/>
          <w:lang w:val="en-US"/>
        </w:rPr>
        <w:t>in</w:t>
      </w:r>
      <w:proofErr w:type="gramEnd"/>
      <w:r w:rsidRPr="00F47702">
        <w:rPr>
          <w:rFonts w:ascii="Didot" w:hAnsi="Didot" w:cs="Didot"/>
          <w:color w:val="121212"/>
          <w:sz w:val="22"/>
          <w:szCs w:val="22"/>
          <w:lang w:val="en-US"/>
        </w:rPr>
        <w:t xml:space="preserve"> Development Planning from the University of the Witwatersrand, and a MSc. degree in Development Studies from the University of KwaZulu-Natal. He has spent time seconded to the National Department of Provincial and Local Government, and to the Department of Communications.  He co-designed, and led the second South African Crime Victimization study, undertaken by the Institute for Security Studies, as well as several site-based victimization surveys.  As a consultant to the ISS, Patrick was the lead researcher on a number of Malawi qualitative and quantitative studies.  While at CJCP, Patrick has worked on two national youth victimisation studies; on youth resilience to violence; and extensively, on school-based and cyber violence.  He is currently a co-investigator and project manager on a national study on child abuse, violence and neglect, as well on a five-year epidemiological study on sexual violence against girls at school. He is the lead on the development of a National School Safety Framework for the National Department of Basic Education. He has extensive experience in the design of monitoring and evaluation frameworks and studies for violence prevention, and is responsible for the research component of the Kenyan Crime and Violence Observatory. He</w:t>
      </w:r>
      <w:r w:rsidR="00E91FDB" w:rsidRPr="00F47702">
        <w:rPr>
          <w:rFonts w:ascii="Didot" w:hAnsi="Didot" w:cs="Didot"/>
          <w:color w:val="121212"/>
          <w:sz w:val="22"/>
          <w:szCs w:val="22"/>
          <w:lang w:val="en-US"/>
        </w:rPr>
        <w:t xml:space="preserve"> has led the </w:t>
      </w:r>
      <w:r w:rsidRPr="00F47702">
        <w:rPr>
          <w:rFonts w:ascii="Didot" w:hAnsi="Didot" w:cs="Didot"/>
          <w:color w:val="121212"/>
          <w:sz w:val="22"/>
          <w:szCs w:val="22"/>
          <w:lang w:val="en-US"/>
        </w:rPr>
        <w:t>design of numerous local safety strategies for local government throughout the region.  Patrick regularly delivers training on crime and violence prevention management through the University of Witwatersrand, and the Polytechnic of Namibia, and is responsible for the M&amp;E for crime and violence prevention module of these courses. He has undertaken work in South Africa, South Sudan, Ethiopia, Malawi, Tanzania, Mozambique, Namibia, Kenya, and the Democratic Republic of Congo.</w:t>
      </w:r>
    </w:p>
    <w:p w14:paraId="7B4F4DFB" w14:textId="77777777" w:rsidR="00216034" w:rsidRPr="006916FC" w:rsidRDefault="00216034" w:rsidP="008A7E29">
      <w:pPr>
        <w:widowControl w:val="0"/>
        <w:pBdr>
          <w:bottom w:val="single" w:sz="6" w:space="1" w:color="auto"/>
        </w:pBdr>
        <w:autoSpaceDE w:val="0"/>
        <w:autoSpaceDN w:val="0"/>
        <w:adjustRightInd w:val="0"/>
        <w:spacing w:after="200"/>
        <w:jc w:val="both"/>
        <w:rPr>
          <w:rFonts w:ascii="Didot" w:hAnsi="Didot" w:cs="Didot"/>
          <w:color w:val="121212"/>
          <w:sz w:val="22"/>
          <w:szCs w:val="22"/>
          <w:lang w:val="en-US"/>
        </w:rPr>
      </w:pPr>
    </w:p>
    <w:p w14:paraId="2C6F8022" w14:textId="77777777" w:rsidR="00216034" w:rsidRPr="006916FC" w:rsidRDefault="00216034" w:rsidP="008A7E29">
      <w:pPr>
        <w:widowControl w:val="0"/>
        <w:autoSpaceDE w:val="0"/>
        <w:autoSpaceDN w:val="0"/>
        <w:adjustRightInd w:val="0"/>
        <w:spacing w:after="200"/>
        <w:jc w:val="both"/>
        <w:rPr>
          <w:rFonts w:ascii="Didot" w:hAnsi="Didot" w:cs="Didot"/>
          <w:color w:val="121212"/>
          <w:sz w:val="22"/>
          <w:szCs w:val="22"/>
          <w:lang w:val="en-US"/>
        </w:rPr>
      </w:pPr>
    </w:p>
    <w:p w14:paraId="4C936C32"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4EAA9DD1"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02754B19"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68CEAE55"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5C02F22F"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7811D6DA"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5F6C6AF8"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5D509D02"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78A44BA9"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51F78EDA"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21300FCC"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4BDACD57"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24046058"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56F0CC5C"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6EDCCEB2"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27F2645F"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190164F5"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658AD9AD"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1ACDB76A"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610210C2" w14:textId="77777777" w:rsidR="00E91FDB" w:rsidRPr="006916FC" w:rsidRDefault="00E91FDB" w:rsidP="008A7E29">
      <w:pPr>
        <w:widowControl w:val="0"/>
        <w:autoSpaceDE w:val="0"/>
        <w:autoSpaceDN w:val="0"/>
        <w:adjustRightInd w:val="0"/>
        <w:spacing w:after="200"/>
        <w:jc w:val="both"/>
        <w:rPr>
          <w:rFonts w:ascii="Didot" w:hAnsi="Didot" w:cs="Didot"/>
          <w:color w:val="121212"/>
          <w:sz w:val="22"/>
          <w:szCs w:val="22"/>
          <w:lang w:val="en-US"/>
        </w:rPr>
      </w:pPr>
    </w:p>
    <w:p w14:paraId="2749C59C" w14:textId="461CB5CA" w:rsidR="00E91FDB" w:rsidRPr="006916FC" w:rsidRDefault="00BD3EFE" w:rsidP="008A7E29">
      <w:pPr>
        <w:pStyle w:val="Heading1"/>
        <w:rPr>
          <w:sz w:val="34"/>
          <w:szCs w:val="34"/>
        </w:rPr>
      </w:pPr>
      <w:r w:rsidRPr="006916FC">
        <w:br w:type="column"/>
      </w:r>
      <w:bookmarkStart w:id="124" w:name="_Toc272639942"/>
      <w:bookmarkStart w:id="125" w:name="_Toc272645065"/>
      <w:r w:rsidR="00E91FDB" w:rsidRPr="006916FC">
        <w:rPr>
          <w:sz w:val="34"/>
          <w:szCs w:val="34"/>
        </w:rPr>
        <w:lastRenderedPageBreak/>
        <w:t>Session 12</w:t>
      </w:r>
      <w:bookmarkEnd w:id="124"/>
      <w:bookmarkEnd w:id="125"/>
      <w:r w:rsidR="00E91FDB" w:rsidRPr="006916FC">
        <w:rPr>
          <w:sz w:val="34"/>
          <w:szCs w:val="34"/>
        </w:rPr>
        <w:t xml:space="preserve"> </w:t>
      </w:r>
    </w:p>
    <w:p w14:paraId="542EB10F" w14:textId="77777777" w:rsidR="00362AAD" w:rsidRPr="006916FC" w:rsidRDefault="00362AAD" w:rsidP="008A7E29">
      <w:pPr>
        <w:pStyle w:val="Heading1"/>
      </w:pPr>
      <w:bookmarkStart w:id="126" w:name="_Toc272639943"/>
      <w:bookmarkStart w:id="127" w:name="_Toc272645066"/>
      <w:r w:rsidRPr="006916FC">
        <w:t>What Penal Policy for Less Violent Societies?</w:t>
      </w:r>
      <w:bookmarkEnd w:id="126"/>
      <w:bookmarkEnd w:id="127"/>
    </w:p>
    <w:p w14:paraId="241856C6" w14:textId="77777777" w:rsidR="00900655" w:rsidRPr="006916FC" w:rsidRDefault="00900655" w:rsidP="008A7E29">
      <w:pPr>
        <w:widowControl w:val="0"/>
        <w:autoSpaceDE w:val="0"/>
        <w:autoSpaceDN w:val="0"/>
        <w:adjustRightInd w:val="0"/>
        <w:spacing w:after="240"/>
        <w:jc w:val="both"/>
        <w:rPr>
          <w:rFonts w:ascii="Didot" w:hAnsi="Didot" w:cs="Didot"/>
          <w:b/>
          <w:bCs/>
          <w:color w:val="121212"/>
          <w:lang w:val="en-US"/>
        </w:rPr>
      </w:pPr>
    </w:p>
    <w:p w14:paraId="1E4B7FEB" w14:textId="77777777" w:rsidR="00362AAD" w:rsidRPr="006916FC" w:rsidRDefault="00362AAD" w:rsidP="008A7E29">
      <w:pPr>
        <w:widowControl w:val="0"/>
        <w:autoSpaceDE w:val="0"/>
        <w:autoSpaceDN w:val="0"/>
        <w:adjustRightInd w:val="0"/>
        <w:spacing w:after="240"/>
        <w:jc w:val="both"/>
        <w:rPr>
          <w:rFonts w:ascii="Didot" w:hAnsi="Didot" w:cs="Didot"/>
          <w:b/>
          <w:bCs/>
          <w:color w:val="121212"/>
          <w:lang w:val="en-US"/>
        </w:rPr>
      </w:pPr>
      <w:r w:rsidRPr="006916FC">
        <w:rPr>
          <w:rFonts w:ascii="Didot" w:hAnsi="Didot" w:cs="Didot"/>
          <w:b/>
          <w:bCs/>
          <w:color w:val="121212"/>
          <w:lang w:val="en-US"/>
        </w:rPr>
        <w:t>Chair: Christof Heyns - United Nations Special Rapporteur on Extrajudicial, Summary or Arbitrary Executions </w:t>
      </w:r>
    </w:p>
    <w:p w14:paraId="54C5B083" w14:textId="77777777" w:rsidR="00900655" w:rsidRPr="006916FC" w:rsidRDefault="00900655"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p>
    <w:p w14:paraId="51770A53" w14:textId="77777777" w:rsidR="00362AAD" w:rsidRPr="00F47702" w:rsidRDefault="00362AAD"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r w:rsidRPr="00F47702">
        <w:rPr>
          <w:rFonts w:ascii="Didot" w:hAnsi="Didot" w:cs="Didot"/>
          <w:color w:val="121212"/>
          <w:sz w:val="22"/>
          <w:szCs w:val="22"/>
          <w:lang w:val="en-US"/>
        </w:rPr>
        <w:t>Criminal justice policies are an integral part of violence reduction strategies. This session examines the ways in which penal policies can support the goal of violence reduction. Issues addressed here include whether increased imprisonment is a viable option, what lessons can be learned from failed past penal policies, and whether changing legislation on drugs or firearms can produce violence-reducing effects.</w:t>
      </w:r>
    </w:p>
    <w:p w14:paraId="3F116F7A" w14:textId="77777777" w:rsidR="00900655" w:rsidRPr="006916FC" w:rsidRDefault="00900655" w:rsidP="008A7E29">
      <w:pPr>
        <w:widowControl w:val="0"/>
        <w:pBdr>
          <w:top w:val="single" w:sz="6" w:space="1" w:color="auto"/>
          <w:bottom w:val="single" w:sz="6" w:space="1" w:color="auto"/>
        </w:pBdr>
        <w:autoSpaceDE w:val="0"/>
        <w:autoSpaceDN w:val="0"/>
        <w:adjustRightInd w:val="0"/>
        <w:spacing w:after="200"/>
        <w:jc w:val="both"/>
        <w:rPr>
          <w:rFonts w:ascii="Didot" w:hAnsi="Didot" w:cs="Didot"/>
          <w:color w:val="121212"/>
          <w:sz w:val="22"/>
          <w:szCs w:val="22"/>
          <w:lang w:val="en-US"/>
        </w:rPr>
      </w:pPr>
    </w:p>
    <w:p w14:paraId="5ED3F595" w14:textId="77777777" w:rsidR="00362AAD" w:rsidRPr="006916FC" w:rsidRDefault="00362AAD" w:rsidP="008A7E29">
      <w:pPr>
        <w:pStyle w:val="Heading2"/>
        <w:jc w:val="both"/>
        <w:rPr>
          <w:rFonts w:ascii="Didot" w:hAnsi="Didot" w:cs="Didot"/>
          <w:color w:val="auto"/>
          <w:sz w:val="34"/>
          <w:szCs w:val="34"/>
        </w:rPr>
      </w:pPr>
      <w:bookmarkStart w:id="128" w:name="_Toc272639944"/>
      <w:bookmarkStart w:id="129" w:name="_Toc272645067"/>
      <w:r w:rsidRPr="006916FC">
        <w:rPr>
          <w:rFonts w:ascii="Didot" w:hAnsi="Didot" w:cs="Didot"/>
          <w:color w:val="auto"/>
          <w:sz w:val="34"/>
          <w:szCs w:val="34"/>
        </w:rPr>
        <w:t>Daniel Nagin</w:t>
      </w:r>
      <w:bookmarkEnd w:id="128"/>
      <w:bookmarkEnd w:id="129"/>
    </w:p>
    <w:p w14:paraId="0CE50FEA"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04813065" w14:textId="77777777" w:rsidR="00362AAD" w:rsidRPr="006916FC" w:rsidRDefault="00362AAD"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6B2A4F4E" w14:textId="77777777" w:rsidR="00362AAD" w:rsidRPr="00F47702" w:rsidRDefault="00362A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Daniel S. Nagin is Teresa and H. John Heinz III University Professor of Public Policy and Statistics in the Heinz College, Carnegie Mellon University.  He is an elected Fellow of the American Society of Criminology, American Association for the Advancement of Science, and American Academy of Political and Social Science. He was awarded the American Society of Criminology's Edwin H Sutherland Award in 2006 and the Stockholm Prize in Criminology in 2014. His research focuses on the evolution of criminal and antisocial behaviors over the life course, the deterrent effect of criminal and non-criminal penalties on illegal behaviors, and the development of statistical methods for analyzing longitudinal data. His work has appeared in such diverse outlets as the American Economic Review, American Sociological Review, Journal of the American Statistical Association, American Journal of Sociology, Archives of General Psychiatry, Criminology, Child Development, Demography, Psychological Methodology, Law &amp; Society Review, Crime and Justice Annual Review, Operations Research, and Stanford Law Review. He is also the author of Group-based Modeling of Development (Harvard University Press, 2005) and chaired and co-edited the report of the (US) National Academy of Science's Committee on Deterrence and the Death Penalty.</w:t>
      </w:r>
    </w:p>
    <w:p w14:paraId="51316184"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7A73B36D" w14:textId="4978CA79" w:rsidR="00EE46BD" w:rsidRPr="00BB521F" w:rsidRDefault="00EE46BD" w:rsidP="008A7E29">
      <w:pPr>
        <w:jc w:val="both"/>
        <w:rPr>
          <w:rFonts w:ascii="Didot" w:hAnsi="Didot" w:cs="Didot"/>
          <w:b/>
        </w:rPr>
      </w:pPr>
      <w:r w:rsidRPr="00BB521F">
        <w:rPr>
          <w:rFonts w:ascii="Didot" w:hAnsi="Didot" w:cs="Didot"/>
          <w:b/>
        </w:rPr>
        <w:t>Summary</w:t>
      </w:r>
    </w:p>
    <w:p w14:paraId="39FC66A3" w14:textId="77777777" w:rsidR="00BB521F" w:rsidRPr="00BB521F" w:rsidRDefault="00BB521F" w:rsidP="008A7E29">
      <w:pPr>
        <w:jc w:val="both"/>
        <w:rPr>
          <w:rFonts w:ascii="Didot" w:hAnsi="Didot" w:cs="Didot"/>
          <w:b/>
        </w:rPr>
      </w:pPr>
    </w:p>
    <w:p w14:paraId="6E76DA4B" w14:textId="77777777" w:rsidR="00B552DA" w:rsidRPr="00BB521F" w:rsidRDefault="00B552DA" w:rsidP="008A7E29">
      <w:pPr>
        <w:jc w:val="both"/>
        <w:rPr>
          <w:rFonts w:ascii="Didot" w:hAnsi="Didot" w:cs="Didot"/>
          <w:b/>
        </w:rPr>
      </w:pPr>
      <w:r w:rsidRPr="00BB521F">
        <w:rPr>
          <w:rFonts w:ascii="Didot" w:hAnsi="Didot" w:cs="Didot"/>
          <w:b/>
        </w:rPr>
        <w:t>When the inevitable happens</w:t>
      </w:r>
      <w:proofErr w:type="gramStart"/>
      <w:r w:rsidRPr="00BB521F">
        <w:rPr>
          <w:rFonts w:ascii="Didot" w:hAnsi="Didot" w:cs="Didot"/>
          <w:b/>
        </w:rPr>
        <w:t>—</w:t>
      </w:r>
      <w:proofErr w:type="gramEnd"/>
      <w:r w:rsidRPr="00BB521F">
        <w:rPr>
          <w:rFonts w:ascii="Didot" w:hAnsi="Didot" w:cs="Didot"/>
          <w:b/>
        </w:rPr>
        <w:t>rising, not declining, crime rates—what to do?</w:t>
      </w:r>
    </w:p>
    <w:p w14:paraId="2B9987F9" w14:textId="77777777" w:rsidR="00160E26" w:rsidRPr="00F47702" w:rsidRDefault="00160E26" w:rsidP="008A7E29">
      <w:pPr>
        <w:jc w:val="both"/>
        <w:rPr>
          <w:rFonts w:ascii="Didot" w:hAnsi="Didot" w:cs="Didot"/>
          <w:sz w:val="22"/>
          <w:szCs w:val="22"/>
        </w:rPr>
        <w:sectPr w:rsidR="00160E26" w:rsidRPr="00F47702" w:rsidSect="00B86B1F">
          <w:type w:val="continuous"/>
          <w:pgSz w:w="11900" w:h="16840"/>
          <w:pgMar w:top="1440" w:right="1800" w:bottom="1440" w:left="1800" w:header="708" w:footer="708" w:gutter="0"/>
          <w:cols w:space="708"/>
          <w:docGrid w:linePitch="360"/>
        </w:sectPr>
      </w:pPr>
    </w:p>
    <w:p w14:paraId="3C022124" w14:textId="77777777" w:rsidR="00B552DA" w:rsidRPr="00F47702" w:rsidRDefault="00B552DA" w:rsidP="008A7E29">
      <w:pPr>
        <w:jc w:val="both"/>
        <w:rPr>
          <w:rFonts w:ascii="Didot" w:hAnsi="Didot" w:cs="Didot"/>
          <w:sz w:val="22"/>
          <w:szCs w:val="22"/>
        </w:rPr>
      </w:pPr>
    </w:p>
    <w:p w14:paraId="38BE3912"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For two decades crime rates, particularly for violent crimes, have been declining across the globe.  Homicide rates, the best-measured violent crime, are down by </w:t>
      </w:r>
      <w:proofErr w:type="gramStart"/>
      <w:r w:rsidRPr="00F47702">
        <w:rPr>
          <w:rFonts w:ascii="Didot" w:hAnsi="Didot" w:cs="Didot"/>
          <w:sz w:val="22"/>
          <w:szCs w:val="22"/>
        </w:rPr>
        <w:t>50%</w:t>
      </w:r>
      <w:proofErr w:type="gramEnd"/>
      <w:r w:rsidRPr="00F47702">
        <w:rPr>
          <w:rFonts w:ascii="Didot" w:hAnsi="Didot" w:cs="Didot"/>
          <w:sz w:val="22"/>
          <w:szCs w:val="22"/>
        </w:rPr>
        <w:t xml:space="preserve"> or more in many Western European countries and in the US. The crime drop is not limited to wealthy western countries. Over the past 20 years the homicide rate in large numbers of developing countries has declined by two-thirds or more.  </w:t>
      </w:r>
    </w:p>
    <w:p w14:paraId="74A03CF4" w14:textId="77777777" w:rsidR="00B552DA" w:rsidRPr="00F47702" w:rsidRDefault="00B552DA" w:rsidP="008A7E29">
      <w:pPr>
        <w:jc w:val="both"/>
        <w:rPr>
          <w:rFonts w:ascii="Didot" w:hAnsi="Didot" w:cs="Didot"/>
          <w:sz w:val="22"/>
          <w:szCs w:val="22"/>
        </w:rPr>
      </w:pPr>
    </w:p>
    <w:p w14:paraId="424F5F8A"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While these declines may be reflective of a long term secular decline documented by Eisner, Pinsker, and others, just like short term trends in the stock market, short term trends in crime rates are not immutable. At some point, possibly in the not too distant future, the crime drop will reverse itself in Europe, the US and elsewhere and we will move into an era of rising, not falling, crime rates. So what should policy makers do, or at least what does research suggest they do when crime rates start rising?  </w:t>
      </w:r>
    </w:p>
    <w:p w14:paraId="7A11178E" w14:textId="77777777" w:rsidR="00B552DA" w:rsidRPr="00F47702" w:rsidRDefault="00B552DA" w:rsidP="008A7E29">
      <w:pPr>
        <w:jc w:val="both"/>
        <w:rPr>
          <w:rFonts w:ascii="Didot" w:hAnsi="Didot" w:cs="Didot"/>
          <w:sz w:val="22"/>
          <w:szCs w:val="22"/>
        </w:rPr>
      </w:pPr>
    </w:p>
    <w:p w14:paraId="7CC1AE66"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In this talk I outline how in my judgment policy makers should respond particularly as it relates to the use of prisons and police.  Evidence-based crime policy must be grounded in the recognition that the response should have two arms: one involving resources outside the criminal justice system; another involving the resources of the criminal justice system. </w:t>
      </w:r>
    </w:p>
    <w:p w14:paraId="2D4C7D29"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 </w:t>
      </w:r>
    </w:p>
    <w:p w14:paraId="6A6A5C58"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Research tell us that crime is, in part, the product of forces that are far beyond the reach of the criminal justice system. Consequently, mobilization of resources outside of the criminal justice system should be an integral part of the crime prevention strategies of all countries regardless of the direction of crime trends. Three responses of this type are particularly important: (1) Investing more in early childhood enrichment programs targeted at high risk children, (2) greater investment in drug treatment, for the purpose </w:t>
      </w:r>
      <w:r w:rsidRPr="00F47702" w:rsidDel="00DD449B">
        <w:rPr>
          <w:rFonts w:ascii="Didot" w:hAnsi="Didot" w:cs="Didot"/>
          <w:sz w:val="22"/>
          <w:szCs w:val="22"/>
        </w:rPr>
        <w:t>reduc</w:t>
      </w:r>
      <w:r w:rsidRPr="00F47702">
        <w:rPr>
          <w:rFonts w:ascii="Didot" w:hAnsi="Didot" w:cs="Didot"/>
          <w:sz w:val="22"/>
          <w:szCs w:val="22"/>
        </w:rPr>
        <w:t>ing</w:t>
      </w:r>
      <w:r w:rsidRPr="00F47702" w:rsidDel="00DD449B">
        <w:rPr>
          <w:rFonts w:ascii="Didot" w:hAnsi="Didot" w:cs="Didot"/>
          <w:sz w:val="22"/>
          <w:szCs w:val="22"/>
        </w:rPr>
        <w:t xml:space="preserve"> the number of people who commit crimes </w:t>
      </w:r>
      <w:r w:rsidRPr="00F47702">
        <w:rPr>
          <w:rFonts w:ascii="Didot" w:hAnsi="Didot" w:cs="Didot"/>
          <w:sz w:val="22"/>
          <w:szCs w:val="22"/>
        </w:rPr>
        <w:t>in order to support drug habits, (3) provision of</w:t>
      </w:r>
      <w:r w:rsidRPr="00F47702" w:rsidDel="00DD449B">
        <w:rPr>
          <w:rFonts w:ascii="Didot" w:hAnsi="Didot" w:cs="Didot"/>
          <w:sz w:val="22"/>
          <w:szCs w:val="22"/>
        </w:rPr>
        <w:t xml:space="preserve"> </w:t>
      </w:r>
      <w:r w:rsidRPr="00F47702">
        <w:rPr>
          <w:rFonts w:ascii="Didot" w:hAnsi="Didot" w:cs="Didot"/>
          <w:sz w:val="22"/>
          <w:szCs w:val="22"/>
        </w:rPr>
        <w:t xml:space="preserve">better mental health services to those who find their way into the criminal justice system but the aim of keeping the mentally out of prison.  </w:t>
      </w:r>
    </w:p>
    <w:p w14:paraId="0D657CA1" w14:textId="77777777" w:rsidR="00B552DA" w:rsidRPr="00F47702" w:rsidRDefault="00B552DA" w:rsidP="008A7E29">
      <w:pPr>
        <w:jc w:val="both"/>
        <w:rPr>
          <w:rFonts w:ascii="Didot" w:hAnsi="Didot" w:cs="Didot"/>
          <w:sz w:val="22"/>
          <w:szCs w:val="22"/>
        </w:rPr>
      </w:pPr>
    </w:p>
    <w:p w14:paraId="096AEC1B"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Notwithstanding the importance of these three non-criminal justice policy responses, the focus of my remarks will be on the criminal justice response particularly as it pertains to the use of prisons and police. More than 250 years ago the Enlightenment philosopher Cesare Beccaria admonished that “It is better to prevent crimes than punish them.” The U.S. response to rising crime rates from the 1960s through the 1980s was predicated on two faulty premises that ignored Beccaria’s warning:</w:t>
      </w:r>
    </w:p>
    <w:p w14:paraId="65F08373" w14:textId="77777777" w:rsidR="00B552DA" w:rsidRPr="00F47702" w:rsidRDefault="00B552DA" w:rsidP="008A7E29">
      <w:pPr>
        <w:jc w:val="both"/>
        <w:rPr>
          <w:rFonts w:ascii="Didot" w:hAnsi="Didot" w:cs="Didot"/>
          <w:sz w:val="22"/>
          <w:szCs w:val="22"/>
        </w:rPr>
      </w:pPr>
    </w:p>
    <w:p w14:paraId="56EFC318"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The first was that sending more people to prison for longer periods of time was an effective way to prevent crime and the second was that the police were impotent to prevent crime. </w:t>
      </w:r>
    </w:p>
    <w:p w14:paraId="471C5446"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lastRenderedPageBreak/>
        <w:t xml:space="preserve"> </w:t>
      </w:r>
    </w:p>
    <w:p w14:paraId="24D9D221"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Over the past 5 years I have completed a number of reviews of the literature on deterrence and the crime prevention effect of imprisonment. Four important conclusions about the crime prevention effectiveness of criminal penalties have emerged from these reviews. They are:</w:t>
      </w:r>
    </w:p>
    <w:p w14:paraId="535F0784" w14:textId="77777777" w:rsidR="00B552DA" w:rsidRPr="00F47702" w:rsidRDefault="00B552DA" w:rsidP="008A7E29">
      <w:pPr>
        <w:jc w:val="both"/>
        <w:rPr>
          <w:rFonts w:ascii="Didot" w:hAnsi="Didot" w:cs="Didot"/>
          <w:sz w:val="22"/>
          <w:szCs w:val="22"/>
        </w:rPr>
      </w:pPr>
    </w:p>
    <w:p w14:paraId="7FB03063" w14:textId="77777777" w:rsidR="00B552DA" w:rsidRPr="00F47702" w:rsidRDefault="00B552DA" w:rsidP="008A7E29">
      <w:pPr>
        <w:pStyle w:val="ListParagraph"/>
        <w:numPr>
          <w:ilvl w:val="0"/>
          <w:numId w:val="11"/>
        </w:numPr>
        <w:jc w:val="both"/>
        <w:rPr>
          <w:rFonts w:ascii="Didot" w:hAnsi="Didot" w:cs="Didot"/>
          <w:sz w:val="22"/>
          <w:szCs w:val="22"/>
        </w:rPr>
      </w:pPr>
      <w:r w:rsidRPr="00F47702">
        <w:rPr>
          <w:rFonts w:ascii="Didot" w:hAnsi="Didot" w:cs="Didot"/>
          <w:sz w:val="22"/>
          <w:szCs w:val="22"/>
        </w:rPr>
        <w:t>Imprisonment may reduce crime by the physical isolation of offenders. My first key conclusion concerns preventing crime by incapacitation. American-style incapacitation is an inefficient method of crime control and also extremely unjust. A linchpin of US sentencing policy has been the imposition of lengthy prison sentences on repeat offenders. The reasoning was that repeat offenders were also high rate habitual offenders whose offenses could be averted by their incapacitation. This reasoning is faulty because it ignores two important facts about crime. The first is that nature’s best cure for crime is getting old. The second is the extreme skew in offending.</w:t>
      </w:r>
    </w:p>
    <w:p w14:paraId="253D3336" w14:textId="77777777" w:rsidR="00B552DA" w:rsidRPr="00F47702" w:rsidRDefault="00B552DA" w:rsidP="008A7E29">
      <w:pPr>
        <w:jc w:val="both"/>
        <w:rPr>
          <w:rFonts w:ascii="Didot" w:hAnsi="Didot" w:cs="Didot"/>
          <w:sz w:val="22"/>
          <w:szCs w:val="22"/>
        </w:rPr>
      </w:pPr>
    </w:p>
    <w:p w14:paraId="37E2722A"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Criminologist have long drawn a distinction between specific deterrence, which refers to how the experience of punishment might affect recidivism and general deterrence which refers to how the threat of punishment might affect criminal behavior in the public writ large.  </w:t>
      </w:r>
    </w:p>
    <w:p w14:paraId="05427D0B"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ab/>
      </w:r>
      <w:r w:rsidRPr="00F47702">
        <w:rPr>
          <w:rFonts w:ascii="Didot" w:hAnsi="Didot" w:cs="Didot"/>
          <w:sz w:val="22"/>
          <w:szCs w:val="22"/>
        </w:rPr>
        <w:tab/>
      </w:r>
      <w:r w:rsidRPr="00F47702">
        <w:rPr>
          <w:rFonts w:ascii="Didot" w:hAnsi="Didot" w:cs="Didot"/>
          <w:sz w:val="22"/>
          <w:szCs w:val="22"/>
        </w:rPr>
        <w:tab/>
      </w:r>
      <w:r w:rsidRPr="00F47702">
        <w:rPr>
          <w:rFonts w:ascii="Didot" w:hAnsi="Didot" w:cs="Didot"/>
          <w:sz w:val="22"/>
          <w:szCs w:val="22"/>
        </w:rPr>
        <w:tab/>
      </w:r>
    </w:p>
    <w:p w14:paraId="62C3C2EB" w14:textId="77777777" w:rsidR="00B552DA" w:rsidRPr="00F47702" w:rsidRDefault="00B552DA" w:rsidP="008A7E29">
      <w:pPr>
        <w:pStyle w:val="ListParagraph"/>
        <w:numPr>
          <w:ilvl w:val="0"/>
          <w:numId w:val="11"/>
        </w:numPr>
        <w:jc w:val="both"/>
        <w:rPr>
          <w:rFonts w:ascii="Didot" w:hAnsi="Didot" w:cs="Didot"/>
          <w:sz w:val="22"/>
          <w:szCs w:val="22"/>
        </w:rPr>
      </w:pPr>
      <w:r w:rsidRPr="00F47702">
        <w:rPr>
          <w:rFonts w:ascii="Didot" w:hAnsi="Didot" w:cs="Didot"/>
          <w:sz w:val="22"/>
          <w:szCs w:val="22"/>
        </w:rPr>
        <w:t xml:space="preserve">Conclusion 2 concerns specific deterrence. Implicit in the label is the assumption that experiencing punishment will have a chastening effect. There are, however, many sound reasons for predicting that the experience of punishment, in particular, imprisonment may exacerbate, not reduce, recidivism—for example, prisons may themselves be schools for crime. In fact there is no evidence of the chastening effect. </w:t>
      </w:r>
    </w:p>
    <w:p w14:paraId="0B19ACDB" w14:textId="77777777" w:rsidR="00B552DA" w:rsidRPr="00F47702" w:rsidRDefault="00B552DA" w:rsidP="008A7E29">
      <w:pPr>
        <w:pStyle w:val="ListParagraph"/>
        <w:jc w:val="both"/>
        <w:rPr>
          <w:rFonts w:ascii="Didot" w:hAnsi="Didot" w:cs="Didot"/>
          <w:sz w:val="22"/>
          <w:szCs w:val="22"/>
        </w:rPr>
      </w:pPr>
    </w:p>
    <w:p w14:paraId="73090E38" w14:textId="77777777" w:rsidR="00B552DA" w:rsidRPr="00F47702" w:rsidRDefault="00B552DA" w:rsidP="008A7E29">
      <w:pPr>
        <w:pStyle w:val="ListParagraph"/>
        <w:numPr>
          <w:ilvl w:val="0"/>
          <w:numId w:val="11"/>
        </w:numPr>
        <w:jc w:val="both"/>
        <w:rPr>
          <w:rFonts w:ascii="Didot" w:hAnsi="Didot" w:cs="Didot"/>
          <w:sz w:val="22"/>
          <w:szCs w:val="22"/>
        </w:rPr>
      </w:pPr>
      <w:r w:rsidRPr="00F47702">
        <w:rPr>
          <w:rFonts w:ascii="Didot" w:hAnsi="Didot" w:cs="Didot"/>
          <w:sz w:val="22"/>
          <w:szCs w:val="22"/>
        </w:rPr>
        <w:t xml:space="preserve">Conclusion 3 pertains to the severity punishment. In the context of imprisonment, severity refers to sentence length. Debates about the deterrent effect of severe sentences are commonly posed in terms of questions such as: Will a </w:t>
      </w:r>
      <w:proofErr w:type="gramStart"/>
      <w:r w:rsidRPr="00F47702">
        <w:rPr>
          <w:rFonts w:ascii="Didot" w:hAnsi="Didot" w:cs="Didot"/>
          <w:sz w:val="22"/>
          <w:szCs w:val="22"/>
        </w:rPr>
        <w:t>10 year</w:t>
      </w:r>
      <w:proofErr w:type="gramEnd"/>
      <w:r w:rsidRPr="00F47702">
        <w:rPr>
          <w:rFonts w:ascii="Didot" w:hAnsi="Didot" w:cs="Didot"/>
          <w:sz w:val="22"/>
          <w:szCs w:val="22"/>
        </w:rPr>
        <w:t xml:space="preserve"> sentence deter armed robbery? This is the wrong framing of the question because it does not specify the alternative. From a policy perspective the correct framing is whether a </w:t>
      </w:r>
      <w:proofErr w:type="gramStart"/>
      <w:r w:rsidRPr="00F47702">
        <w:rPr>
          <w:rFonts w:ascii="Didot" w:hAnsi="Didot" w:cs="Didot"/>
          <w:sz w:val="22"/>
          <w:szCs w:val="22"/>
        </w:rPr>
        <w:t>10 year</w:t>
      </w:r>
      <w:proofErr w:type="gramEnd"/>
      <w:r w:rsidRPr="00F47702">
        <w:rPr>
          <w:rFonts w:ascii="Didot" w:hAnsi="Didot" w:cs="Didot"/>
          <w:sz w:val="22"/>
          <w:szCs w:val="22"/>
        </w:rPr>
        <w:t xml:space="preserve"> sentence will serve as a greater deterrent than an acceptable alternative—say a 5 year sentence?  Viewing the findings of research on severity effects in their totality, there is evidence suggesting that short sentences may be a deterrent but a consistent finding is that increases in already lengthy sentences produces at best a very modest deterrent effect whose crime prevention benefit falls way short of the social and economic costs that are incurred. </w:t>
      </w:r>
    </w:p>
    <w:p w14:paraId="3D73712E" w14:textId="77777777" w:rsidR="00B552DA" w:rsidRPr="00F47702" w:rsidRDefault="00B552DA" w:rsidP="008A7E29">
      <w:pPr>
        <w:pStyle w:val="ListParagraph"/>
        <w:jc w:val="both"/>
        <w:rPr>
          <w:rFonts w:ascii="Didot" w:hAnsi="Didot" w:cs="Didot"/>
          <w:sz w:val="22"/>
          <w:szCs w:val="22"/>
        </w:rPr>
      </w:pPr>
    </w:p>
    <w:p w14:paraId="10C9CEDA" w14:textId="77777777" w:rsidR="00B552DA" w:rsidRPr="00F47702" w:rsidRDefault="00B552DA" w:rsidP="008A7E29">
      <w:pPr>
        <w:pStyle w:val="ListParagraph"/>
        <w:numPr>
          <w:ilvl w:val="0"/>
          <w:numId w:val="11"/>
        </w:numPr>
        <w:jc w:val="both"/>
        <w:rPr>
          <w:rFonts w:ascii="Didot" w:hAnsi="Didot" w:cs="Didot"/>
          <w:sz w:val="22"/>
          <w:szCs w:val="22"/>
        </w:rPr>
      </w:pPr>
      <w:r w:rsidRPr="00F47702">
        <w:rPr>
          <w:rFonts w:ascii="Didot" w:hAnsi="Didot" w:cs="Didot"/>
          <w:sz w:val="22"/>
          <w:szCs w:val="22"/>
        </w:rPr>
        <w:t xml:space="preserve">Conclusion 4 pertains to the certainty of punishment. Conventional wisdom is that certainty of punishment, not the severity of punishment, is the more effective deterrent. My review of the evidence has led me to a refinement of this conclusion that has very important policy implications. </w:t>
      </w:r>
      <w:r w:rsidRPr="00F47702">
        <w:rPr>
          <w:rFonts w:ascii="Didot" w:hAnsi="Didot" w:cs="Didot"/>
          <w:color w:val="000000"/>
          <w:sz w:val="22"/>
          <w:szCs w:val="22"/>
        </w:rPr>
        <w:t>There is no evidence of a deterrent effect of increasing the risk of conviction or punishment given apprehension. Consequently, the more precise statement of the certainty principle is:</w:t>
      </w:r>
    </w:p>
    <w:p w14:paraId="29112C35" w14:textId="77777777" w:rsidR="00B552DA" w:rsidRPr="00F47702" w:rsidRDefault="00B552DA" w:rsidP="008A7E29">
      <w:pPr>
        <w:jc w:val="both"/>
        <w:rPr>
          <w:rFonts w:ascii="Didot" w:hAnsi="Didot" w:cs="Didot"/>
          <w:color w:val="000000"/>
          <w:sz w:val="22"/>
          <w:szCs w:val="22"/>
        </w:rPr>
      </w:pPr>
    </w:p>
    <w:p w14:paraId="12D9AAC6" w14:textId="77777777" w:rsidR="00B552DA" w:rsidRPr="00F47702" w:rsidRDefault="00B552DA" w:rsidP="008A7E29">
      <w:pPr>
        <w:ind w:left="720" w:firstLine="60"/>
        <w:jc w:val="both"/>
        <w:rPr>
          <w:rFonts w:ascii="Didot" w:hAnsi="Didot" w:cs="Didot"/>
          <w:sz w:val="22"/>
          <w:szCs w:val="22"/>
        </w:rPr>
      </w:pPr>
      <w:r w:rsidRPr="00F47702">
        <w:rPr>
          <w:rFonts w:ascii="Didot" w:hAnsi="Didot" w:cs="Didot"/>
          <w:color w:val="000000"/>
          <w:sz w:val="22"/>
          <w:szCs w:val="22"/>
        </w:rPr>
        <w:lastRenderedPageBreak/>
        <w:t xml:space="preserve">It is the certainty of apprehension, not the severity of the ensuing consequences, that is the effective deterrent.  </w:t>
      </w:r>
      <w:r w:rsidRPr="00F47702">
        <w:rPr>
          <w:rFonts w:ascii="Didot" w:hAnsi="Didot" w:cs="Didot"/>
          <w:sz w:val="22"/>
          <w:szCs w:val="22"/>
        </w:rPr>
        <w:t>The most important set of actors affecting certainty of apprehension is the police</w:t>
      </w:r>
      <w:proofErr w:type="gramStart"/>
      <w:r w:rsidRPr="00F47702">
        <w:rPr>
          <w:rFonts w:ascii="Didot" w:hAnsi="Didot" w:cs="Didot"/>
          <w:sz w:val="22"/>
          <w:szCs w:val="22"/>
        </w:rPr>
        <w:t>—</w:t>
      </w:r>
      <w:proofErr w:type="gramEnd"/>
      <w:r w:rsidRPr="00F47702">
        <w:rPr>
          <w:rFonts w:ascii="Didot" w:hAnsi="Didot" w:cs="Didot"/>
          <w:sz w:val="22"/>
          <w:szCs w:val="22"/>
        </w:rPr>
        <w:t xml:space="preserve">absent detection and apprehension, there is no possibility of being charged, convicted or formally sanctioned.   </w:t>
      </w:r>
    </w:p>
    <w:p w14:paraId="43792647" w14:textId="77777777" w:rsidR="00B552DA" w:rsidRPr="00F47702" w:rsidRDefault="00B552DA" w:rsidP="008A7E29">
      <w:pPr>
        <w:jc w:val="both"/>
        <w:rPr>
          <w:rFonts w:ascii="Didot" w:hAnsi="Didot" w:cs="Didot"/>
          <w:sz w:val="22"/>
          <w:szCs w:val="22"/>
        </w:rPr>
      </w:pPr>
    </w:p>
    <w:p w14:paraId="19BE3C0D"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The revised certainty principle has two important policy implications. </w:t>
      </w:r>
    </w:p>
    <w:p w14:paraId="3212726D"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First, it makes clear the fallacy of claims that harsh punishments deter crime. </w:t>
      </w:r>
    </w:p>
    <w:p w14:paraId="08BC7FD1"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Second, it places police center stage in preventing it. This brings </w:t>
      </w:r>
      <w:proofErr w:type="gramStart"/>
      <w:r w:rsidRPr="00F47702">
        <w:rPr>
          <w:rFonts w:ascii="Didot" w:hAnsi="Didot" w:cs="Didot"/>
          <w:sz w:val="22"/>
          <w:szCs w:val="22"/>
        </w:rPr>
        <w:t>me</w:t>
      </w:r>
      <w:proofErr w:type="gramEnd"/>
      <w:r w:rsidRPr="00F47702">
        <w:rPr>
          <w:rFonts w:ascii="Didot" w:hAnsi="Didot" w:cs="Didot"/>
          <w:sz w:val="22"/>
          <w:szCs w:val="22"/>
        </w:rPr>
        <w:t xml:space="preserve"> to my recommendations for the criminal justice policy response to the inevitable era of rising crime rates, whenever it might occur.  If sending more people to prison isn’t an effective response to the inevitable era of rising crime rates, how should the resources of the criminal justice system be mobilized in response? Here my key recommendation again follows from the revised certainty principle and is likely to be greeted with skepticism at least in some quarters. That recommendation is that the police needed to be strategically mobilized to deter crime from happening in the first place. This needs to be done in a way that does not violate the civil liberties of the citizens that the police are supposed to be protecting. The objective is to create a safe democratic society not a safe police state. Countries around the world, including in Europe during the lifetimes of most people in this audience, have experienced the tyranny of a police state. We need to better understand how to mobilize the crime prevention capacities of the police in a way that is consistent with the values of a democratic society. In my remarks I will elaborate on how police can better play this role.</w:t>
      </w:r>
    </w:p>
    <w:p w14:paraId="42801B97" w14:textId="77777777" w:rsidR="00160E26" w:rsidRPr="006916FC" w:rsidRDefault="00160E26" w:rsidP="008A7E29">
      <w:pPr>
        <w:jc w:val="both"/>
        <w:rPr>
          <w:rFonts w:ascii="Didot" w:hAnsi="Didot" w:cs="Didot"/>
        </w:rPr>
        <w:sectPr w:rsidR="00160E26" w:rsidRPr="006916FC" w:rsidSect="00160E26">
          <w:type w:val="continuous"/>
          <w:pgSz w:w="11900" w:h="16840"/>
          <w:pgMar w:top="1440" w:right="1800" w:bottom="1440" w:left="1800" w:header="708" w:footer="708" w:gutter="0"/>
          <w:cols w:space="708"/>
          <w:docGrid w:linePitch="360"/>
        </w:sectPr>
      </w:pPr>
    </w:p>
    <w:p w14:paraId="47AF3F34" w14:textId="77777777" w:rsidR="007A51A5" w:rsidRPr="006916FC" w:rsidRDefault="007A51A5" w:rsidP="008A7E29">
      <w:pPr>
        <w:widowControl w:val="0"/>
        <w:pBdr>
          <w:bottom w:val="single" w:sz="6" w:space="1" w:color="auto"/>
        </w:pBdr>
        <w:autoSpaceDE w:val="0"/>
        <w:autoSpaceDN w:val="0"/>
        <w:adjustRightInd w:val="0"/>
        <w:spacing w:after="200"/>
        <w:jc w:val="both"/>
        <w:rPr>
          <w:rFonts w:ascii="Didot" w:hAnsi="Didot" w:cs="Didot"/>
          <w:b/>
          <w:bCs/>
          <w:color w:val="1A1A1A"/>
          <w:lang w:val="en-US"/>
        </w:rPr>
      </w:pPr>
    </w:p>
    <w:p w14:paraId="29189571" w14:textId="77777777" w:rsidR="00362AAD" w:rsidRPr="006916FC" w:rsidRDefault="00362AAD" w:rsidP="008A7E29">
      <w:pPr>
        <w:pStyle w:val="Heading2"/>
        <w:jc w:val="both"/>
        <w:rPr>
          <w:rFonts w:ascii="Didot" w:hAnsi="Didot" w:cs="Didot"/>
          <w:color w:val="auto"/>
          <w:sz w:val="34"/>
          <w:szCs w:val="34"/>
        </w:rPr>
      </w:pPr>
      <w:bookmarkStart w:id="130" w:name="_Toc272639945"/>
      <w:bookmarkStart w:id="131" w:name="_Toc272645068"/>
      <w:r w:rsidRPr="006916FC">
        <w:rPr>
          <w:rFonts w:ascii="Didot" w:hAnsi="Didot" w:cs="Didot"/>
          <w:color w:val="auto"/>
          <w:sz w:val="34"/>
          <w:szCs w:val="34"/>
        </w:rPr>
        <w:t>Michael Tonry</w:t>
      </w:r>
      <w:bookmarkEnd w:id="130"/>
      <w:bookmarkEnd w:id="131"/>
    </w:p>
    <w:p w14:paraId="4AA032C3"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2F29EAF1" w14:textId="77777777" w:rsidR="00362AAD" w:rsidRPr="006916FC" w:rsidRDefault="00362AAD"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7626DFB0" w14:textId="77777777" w:rsidR="007A51A5" w:rsidRPr="00F47702" w:rsidRDefault="00362A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Michael Tonry is McKnight Presidential Professor of Criminal Law and Policy and director, Institute on Crime and Public Policy, University of Minnesota; senior fellow in the Netherlands Institute for the Study of Crime and Law Enforcement, Free University Amsterdam; and a Scientific Member of the Max Planck Institute on Comparative and International Criminal Law, Freiburg, Germany. Previously he was professor of law and public policy and director of the Institute of Criminology at Cambridge University, and a fellow of All Souls College, Oxford. He has since 2001 been a visiting professor of law and criminology at the University of Lausanne, Switzerland. His books include Crime and Justice in America, 1975-2025 (Chicago 201</w:t>
      </w:r>
      <w:r w:rsidR="00E91FDB" w:rsidRPr="00F47702">
        <w:rPr>
          <w:rFonts w:ascii="Didot" w:hAnsi="Didot" w:cs="Didot"/>
          <w:color w:val="121212"/>
          <w:sz w:val="22"/>
          <w:szCs w:val="22"/>
          <w:lang w:val="en-US"/>
        </w:rPr>
        <w:t>3), Prosecutors and Politics—A </w:t>
      </w:r>
      <w:r w:rsidRPr="00F47702">
        <w:rPr>
          <w:rFonts w:ascii="Didot" w:hAnsi="Didot" w:cs="Didot"/>
          <w:color w:val="121212"/>
          <w:sz w:val="22"/>
          <w:szCs w:val="22"/>
          <w:lang w:val="en-US"/>
        </w:rPr>
        <w:t xml:space="preserve">Comparative Perspective (Chicago 2012), Punishing Race (OUP 2011), Thinking about Crime (OUP 2004), and Punishment and Politics—Evidence and Emulation in the Making of English Penal Policy (Willan 2004). He was from 1990 to </w:t>
      </w:r>
      <w:proofErr w:type="gramStart"/>
      <w:r w:rsidRPr="00F47702">
        <w:rPr>
          <w:rFonts w:ascii="Didot" w:hAnsi="Didot" w:cs="Didot"/>
          <w:color w:val="121212"/>
          <w:sz w:val="22"/>
          <w:szCs w:val="22"/>
          <w:lang w:val="en-US"/>
        </w:rPr>
        <w:t>1999  editor</w:t>
      </w:r>
      <w:proofErr w:type="gramEnd"/>
      <w:r w:rsidRPr="00F47702">
        <w:rPr>
          <w:rFonts w:ascii="Didot" w:hAnsi="Didot" w:cs="Didot"/>
          <w:color w:val="121212"/>
          <w:sz w:val="22"/>
          <w:szCs w:val="22"/>
          <w:lang w:val="en-US"/>
        </w:rPr>
        <w:t xml:space="preserve"> of Overcrowded Times—Solving the Prison Problem and from 2000 to 2010 editor of Criminology in Europe. He founded and edits Crime and Justice - A Review of Research and two Oxford University Press book series: Studies in Crime and Public Policy, and Oxford Handbooks on Criminology and Criminal Justice.</w:t>
      </w:r>
    </w:p>
    <w:p w14:paraId="4C604F5C"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25D14FF8" w14:textId="77777777" w:rsidR="00362AAD" w:rsidRPr="006916FC" w:rsidRDefault="00362AAD"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lastRenderedPageBreak/>
        <w:t>Abstract</w:t>
      </w:r>
    </w:p>
    <w:p w14:paraId="69F5A4DF" w14:textId="77777777" w:rsidR="00362AAD" w:rsidRPr="006916FC" w:rsidRDefault="00362AAD"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What Can Courts and Prisons Do to Reduce Violent Crime? </w:t>
      </w:r>
    </w:p>
    <w:p w14:paraId="0FC2FFAB" w14:textId="77777777" w:rsidR="00362AAD" w:rsidRPr="00F47702" w:rsidRDefault="00362A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Courts and prisons can do precious little to reduce violent crime, although they can exacerbate it. How courts and prisons deal with violent crime is not unimportant, of course, but that is a product of the same social, economic, and political conditions that determine levels of crime and violence in a society. Countries in which courts are apolitical institutions that consistently impose punishments that are fair, proportionate, and humane tend to have relatively low levels of violence. Both legal cultures and social conditions associated with low rates of violence are products of historical and cultural forces that shape a country. Countries with strong human rights values, high levels of citizen trust in the state and one another, low levels of income inequality, and strong social welfare systems tend to have both low levels of violence and humane and principled legal cultures. The overwhelming implication is that serious efforts at violence prevention, though they should and will embody strenuous targeted efforts to reduce violence per se, must be equally or more focused on building the social and economic conditions that make violence and other predatory crime less common. As Scandinavian scholars and officials often say, the best crime policy is a good social policy. </w:t>
      </w:r>
    </w:p>
    <w:p w14:paraId="46D6F1E0"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3F0A0567" w14:textId="6A566E54" w:rsidR="00216034" w:rsidRPr="006916FC" w:rsidRDefault="00EE46BD" w:rsidP="008A7E29">
      <w:pPr>
        <w:widowControl w:val="0"/>
        <w:autoSpaceDE w:val="0"/>
        <w:autoSpaceDN w:val="0"/>
        <w:adjustRightInd w:val="0"/>
        <w:spacing w:after="240"/>
        <w:jc w:val="both"/>
        <w:rPr>
          <w:rFonts w:ascii="Didot" w:hAnsi="Didot" w:cs="Didot"/>
          <w:b/>
        </w:rPr>
      </w:pPr>
      <w:r w:rsidRPr="006916FC">
        <w:rPr>
          <w:rFonts w:ascii="Didot" w:hAnsi="Didot" w:cs="Didot"/>
          <w:b/>
        </w:rPr>
        <w:t>Summary</w:t>
      </w:r>
    </w:p>
    <w:p w14:paraId="455AD7D0" w14:textId="77777777" w:rsidR="00540C57" w:rsidRPr="006916FC" w:rsidRDefault="00540C57" w:rsidP="008A7E29">
      <w:pPr>
        <w:jc w:val="both"/>
        <w:rPr>
          <w:rFonts w:ascii="Didot" w:hAnsi="Didot" w:cs="Didot"/>
          <w:b/>
        </w:rPr>
      </w:pPr>
      <w:r w:rsidRPr="006916FC">
        <w:rPr>
          <w:rFonts w:ascii="Didot" w:hAnsi="Didot" w:cs="Didot"/>
          <w:b/>
        </w:rPr>
        <w:t>What Can Courts and Prisons Do to Reduce Violent Crime?</w:t>
      </w:r>
    </w:p>
    <w:p w14:paraId="734D0569" w14:textId="77777777" w:rsidR="00540C57" w:rsidRPr="006916FC" w:rsidRDefault="00540C57" w:rsidP="008A7E29">
      <w:pPr>
        <w:jc w:val="both"/>
        <w:rPr>
          <w:rFonts w:ascii="Didot" w:hAnsi="Didot" w:cs="Didot"/>
        </w:rPr>
      </w:pPr>
    </w:p>
    <w:p w14:paraId="6CD58D58" w14:textId="77777777" w:rsidR="00540C57" w:rsidRPr="006916FC" w:rsidRDefault="007F4EDF" w:rsidP="008A7E29">
      <w:pPr>
        <w:jc w:val="both"/>
        <w:rPr>
          <w:rFonts w:ascii="Didot" w:hAnsi="Didot" w:cs="Didot"/>
        </w:rPr>
      </w:pPr>
      <w:r w:rsidRPr="006916FC">
        <w:rPr>
          <w:rFonts w:ascii="Didot" w:hAnsi="Didot" w:cs="Didot"/>
        </w:rPr>
        <w:t xml:space="preserve"> </w:t>
      </w:r>
      <w:r w:rsidR="00540C57" w:rsidRPr="006916FC">
        <w:rPr>
          <w:rFonts w:ascii="Didot" w:hAnsi="Didot" w:cs="Didot"/>
        </w:rPr>
        <w:tab/>
      </w:r>
      <w:r w:rsidR="00540C57" w:rsidRPr="006916FC">
        <w:rPr>
          <w:rFonts w:ascii="Didot" w:hAnsi="Didot" w:cs="Didot"/>
        </w:rPr>
        <w:tab/>
      </w:r>
      <w:r w:rsidRPr="006916FC">
        <w:rPr>
          <w:rFonts w:ascii="Didot" w:hAnsi="Didot" w:cs="Didot"/>
        </w:rPr>
        <w:t xml:space="preserve"> </w:t>
      </w:r>
      <w:r w:rsidR="00540C57" w:rsidRPr="006916FC">
        <w:rPr>
          <w:rFonts w:ascii="Didot" w:hAnsi="Didot" w:cs="Didot"/>
        </w:rPr>
        <w:tab/>
      </w:r>
      <w:r w:rsidR="00540C57" w:rsidRPr="006916FC">
        <w:rPr>
          <w:rFonts w:ascii="Didot" w:hAnsi="Didot" w:cs="Didot"/>
        </w:rPr>
        <w:tab/>
      </w:r>
      <w:r w:rsidRPr="006916FC">
        <w:rPr>
          <w:rFonts w:ascii="Didot" w:hAnsi="Didot" w:cs="Didot"/>
        </w:rPr>
        <w:t xml:space="preserve"> </w:t>
      </w:r>
      <w:r w:rsidR="00540C57" w:rsidRPr="006916FC">
        <w:rPr>
          <w:rFonts w:ascii="Didot" w:hAnsi="Didot" w:cs="Didot"/>
        </w:rPr>
        <w:tab/>
      </w:r>
      <w:r w:rsidR="00540C57" w:rsidRPr="006916FC">
        <w:rPr>
          <w:rFonts w:ascii="Didot" w:hAnsi="Didot" w:cs="Didot"/>
        </w:rPr>
        <w:tab/>
      </w:r>
      <w:r w:rsidRPr="006916FC">
        <w:rPr>
          <w:rFonts w:ascii="Didot" w:hAnsi="Didot" w:cs="Didot"/>
        </w:rPr>
        <w:t xml:space="preserve"> </w:t>
      </w:r>
      <w:r w:rsidR="00540C57" w:rsidRPr="006916FC">
        <w:rPr>
          <w:rFonts w:ascii="Didot" w:hAnsi="Didot" w:cs="Didot"/>
        </w:rPr>
        <w:tab/>
      </w:r>
      <w:r w:rsidR="00540C57" w:rsidRPr="006916FC">
        <w:rPr>
          <w:rFonts w:ascii="Didot" w:hAnsi="Didot" w:cs="Didot"/>
        </w:rPr>
        <w:tab/>
      </w:r>
      <w:r w:rsidRPr="006916FC">
        <w:rPr>
          <w:rFonts w:ascii="Didot" w:hAnsi="Didot" w:cs="Didot"/>
        </w:rPr>
        <w:t xml:space="preserve"> </w:t>
      </w:r>
    </w:p>
    <w:p w14:paraId="579C6114" w14:textId="77777777" w:rsidR="00160E26" w:rsidRPr="006916FC" w:rsidRDefault="00160E26" w:rsidP="008A7E29">
      <w:pPr>
        <w:jc w:val="both"/>
        <w:rPr>
          <w:rFonts w:ascii="Didot" w:hAnsi="Didot" w:cs="Didot"/>
        </w:rPr>
        <w:sectPr w:rsidR="00160E26" w:rsidRPr="006916FC" w:rsidSect="00B86B1F">
          <w:type w:val="continuous"/>
          <w:pgSz w:w="11900" w:h="16840"/>
          <w:pgMar w:top="1440" w:right="1800" w:bottom="1440" w:left="1800" w:header="708" w:footer="708" w:gutter="0"/>
          <w:cols w:space="708"/>
          <w:docGrid w:linePitch="360"/>
        </w:sectPr>
      </w:pPr>
    </w:p>
    <w:p w14:paraId="25451CB3"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lastRenderedPageBreak/>
        <w:t xml:space="preserve">Courts, and prisons as implementers of punishments for the most serious crimes, have important roles to play in humane well-ordered societies. That role, as Emile Durkheim long ago saw, is not to reduce crime through deterrence and incapacitation, but by example to reinforce fundamental social values. Modern evidence of the limited direct preventive effects of criminal punishments confirms Durkheim’s view. Whether people do or do not commit serious crimes is seldom because of their perceptions of foreseeable punishments but because of their socialization into fundamental values of right and wrong. In that task, criminal justice institutions can play small roles. The heavy lifting must be done by primary social institutions, preeminently the family, the church, the school, and the local community. </w:t>
      </w:r>
    </w:p>
    <w:p w14:paraId="676AD019" w14:textId="77777777" w:rsidR="00E91FDB" w:rsidRPr="00F47702" w:rsidRDefault="00E91FDB" w:rsidP="008A7E29">
      <w:pPr>
        <w:jc w:val="both"/>
        <w:rPr>
          <w:rFonts w:ascii="Didot" w:hAnsi="Didot" w:cs="Didot"/>
          <w:sz w:val="22"/>
          <w:szCs w:val="22"/>
        </w:rPr>
      </w:pPr>
    </w:p>
    <w:p w14:paraId="07BE3D75"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tab/>
        <w:t>The role of the courts and prisons is dramaturgical. They can reinforce basic social norms learned in primary processes through the actions they take and the processes they are seen to follow. They can also undermine basic social norms and thereby imply social dissensus about them, as when the crimes of the powerful and politically connected or serious crimes more generally are disregarded, when punishments flout conventional notions of what is more serious than what (e.g., when drug crimes are punished more severely than violent ones), or when processes systematically treat members of minority and immigrant groups differently from members of politically dominant groups.</w:t>
      </w:r>
    </w:p>
    <w:p w14:paraId="284853F9" w14:textId="77777777" w:rsidR="00E91FDB" w:rsidRPr="00F47702" w:rsidRDefault="00E91FDB" w:rsidP="008A7E29">
      <w:pPr>
        <w:jc w:val="both"/>
        <w:rPr>
          <w:rFonts w:ascii="Didot" w:hAnsi="Didot" w:cs="Didot"/>
          <w:sz w:val="22"/>
          <w:szCs w:val="22"/>
        </w:rPr>
      </w:pPr>
    </w:p>
    <w:p w14:paraId="79CA4036"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lastRenderedPageBreak/>
        <w:tab/>
        <w:t>The observations set out in the preceding paragraphs are not new, as the mention of Durkheim indicates. Their validity, however, has in many countries long been obscured by ideology, parochialism, and lack of confirmatory hard evidence. Two of these blinders, parochialism and lack of evidence, are slowly falling off as cross-national and comparative evidence and modern social science research findings accumulates. The blinder of ideology will likely take longer to fall. Many people who want to believe that deterrence and incapacitation are primary mechanisms of crime prevention are hard-wired to see what they want to see and to disdain and disregard evidence that undermines their prejudices.</w:t>
      </w:r>
    </w:p>
    <w:p w14:paraId="5F0E3FC4" w14:textId="77777777" w:rsidR="00E91FDB" w:rsidRPr="00F47702" w:rsidRDefault="00E91FDB" w:rsidP="008A7E29">
      <w:pPr>
        <w:jc w:val="both"/>
        <w:rPr>
          <w:rFonts w:ascii="Didot" w:hAnsi="Didot" w:cs="Didot"/>
          <w:sz w:val="22"/>
          <w:szCs w:val="22"/>
        </w:rPr>
      </w:pPr>
    </w:p>
    <w:p w14:paraId="40B12EA0"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tab/>
        <w:t xml:space="preserve">Four bodies of evidence support the claim that basic social values, not the severity and relentlessness of punishment, shape crime rates. One, in some ways the most mundane, is social science evidence on the effects of sanctions. A recent American National Academy of Sciences Committee on the Causes and Consequences of High Rates of Incarceration in 2014 released a report surveying evidence on the effects of recent laws prescribing severe punishments and on research findings on deterrent and incapacitative effects of sanction. Major conclusions were that there is no credible evidence that severe penalties have significant, if any deterrent effects; that for a large number of reasons incapacitation effects are at best slight; and that all else being equal sending an offender to prison does not reduce later criminality, and may make </w:t>
      </w:r>
      <w:proofErr w:type="gramStart"/>
      <w:r w:rsidRPr="00F47702">
        <w:rPr>
          <w:rFonts w:ascii="Didot" w:hAnsi="Didot" w:cs="Didot"/>
          <w:sz w:val="22"/>
          <w:szCs w:val="22"/>
        </w:rPr>
        <w:t>it  more</w:t>
      </w:r>
      <w:proofErr w:type="gramEnd"/>
      <w:r w:rsidRPr="00F47702">
        <w:rPr>
          <w:rFonts w:ascii="Didot" w:hAnsi="Didot" w:cs="Didot"/>
          <w:sz w:val="22"/>
          <w:szCs w:val="22"/>
        </w:rPr>
        <w:t xml:space="preserve"> likely. The evidence on the effects of recent harsh American sentencing laws shows that they are often evaded by police, prosecutors, and judges because they are believed to be unjustly severe and that even when they are imposed judges often do so believing them to have been unjustly severe. Both of these latter findings illustrate the importance of congruity between what courts do and what basic social norms indicate they should do. Imposition of punishments believed to be unjust undermines the norms they are ostensibly meant to acknowledge.</w:t>
      </w:r>
    </w:p>
    <w:p w14:paraId="68568398" w14:textId="77777777" w:rsidR="00E91FDB" w:rsidRPr="00F47702" w:rsidRDefault="00E91FDB" w:rsidP="008A7E29">
      <w:pPr>
        <w:jc w:val="both"/>
        <w:rPr>
          <w:rFonts w:ascii="Didot" w:hAnsi="Didot" w:cs="Didot"/>
          <w:sz w:val="22"/>
          <w:szCs w:val="22"/>
        </w:rPr>
      </w:pPr>
    </w:p>
    <w:p w14:paraId="5A034565"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tab/>
        <w:t>The second body of evidence is comparative and shows that there is no simple relationship between crime and punishment. Although a lay person might assume that rising crime rates lead to rising imprisonment rates, this is not what happens. Overall crime rates, violence rates generally, and homicide rates rose in all developed Western countries between the 1960s and the early 1990s before peaking and beginning a two-decade-long decline. During that period, imprisonment rates rose dramatically in only two countries, the US and the Netherlands. In most Western countries including much of Western Europe and Canada, imprisonment rates were stable or increased slightly. In Finland they fell by two-thirds. The same point can be observed comparing contiguous and culturally comparable countries. Crime rates in Canada and the US moved in parallel between 1973 and 1990. Canadian imprisonment rates held stable while the American rate increased four-fold. The four Scandinavian countries experienced almost perfectly parallel trends in crime rates between 1970 and 1990. Finland’s imprisonment rate plummeted. Those in the other three countries were broadly stable.</w:t>
      </w:r>
    </w:p>
    <w:p w14:paraId="4A8A121A" w14:textId="77777777" w:rsidR="00E91FDB" w:rsidRPr="00F47702" w:rsidRDefault="00E91FDB" w:rsidP="008A7E29">
      <w:pPr>
        <w:jc w:val="both"/>
        <w:rPr>
          <w:rFonts w:ascii="Didot" w:hAnsi="Didot" w:cs="Didot"/>
          <w:sz w:val="22"/>
          <w:szCs w:val="22"/>
        </w:rPr>
      </w:pPr>
    </w:p>
    <w:p w14:paraId="2DE54431"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tab/>
        <w:t xml:space="preserve">The third body of evidence is also comparative and shows that, almost regardless of the nature, changes in, or severity of crime control policies in individual countries, crime rates in developed Western countries have moved in parallel since the 1950s. Rates rose from the 1960s through the 1990s and have </w:t>
      </w:r>
      <w:r w:rsidRPr="00F47702">
        <w:rPr>
          <w:rFonts w:ascii="Didot" w:hAnsi="Didot" w:cs="Didot"/>
          <w:sz w:val="22"/>
          <w:szCs w:val="22"/>
        </w:rPr>
        <w:lastRenderedPageBreak/>
        <w:t>fallen since. No informed person would challenge that statement in relation to homicide or property crime rates. In many countries that pattern is also clear for nonlethal violence in both official and victimization data. In some countries, the post-1990s drop in nonlethal violence is unclear in official data but that is misleading. Because of cultural declines in tolerance of violence, victims have become more likely to report incidents to the police and police have become more likely to record reported incidents as crimes. More generally, what counts as violence has changed. Incidents that 30 or 40 years ago would have been regarded merely as unpleasant incidents are now seen as crimes. Examples include minor sexual incidents, fisticuffs between married or other partners, and alcohol-influenced fights. Many such incidents that formerly would not have been thought of as crimes at all now appear in police registers.</w:t>
      </w:r>
    </w:p>
    <w:p w14:paraId="4F75CFFC" w14:textId="77777777" w:rsidR="00E91FDB" w:rsidRPr="00F47702" w:rsidRDefault="00E91FDB" w:rsidP="008A7E29">
      <w:pPr>
        <w:jc w:val="both"/>
        <w:rPr>
          <w:rFonts w:ascii="Didot" w:hAnsi="Didot" w:cs="Didot"/>
          <w:sz w:val="22"/>
          <w:szCs w:val="22"/>
        </w:rPr>
      </w:pPr>
    </w:p>
    <w:p w14:paraId="75B8DB9F"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tab/>
        <w:t>Finally, the fourth body of evidence concerns procedural justice and legitimacy. Those two recently emerged literatures counsel that citizens accord greater respect and acknowledge greater legitimacy in official processes that treat them even-handedly and with respect and that allow them a fair chance to state their case. Those findings in some ways do no more than document what most people’s intuitions would tell them. All of us resent being treated unfairly or disrespectfully, and have less or no respect for those who treat us in those ways. These findings, or truths, dovetail nicely with comparative research on the severity of punishment. High levels of trust in state institutions and fellow citizens are among the most powerful predictors of humane and restrained criminal justice policies.</w:t>
      </w:r>
    </w:p>
    <w:p w14:paraId="4FCE643D" w14:textId="77777777" w:rsidR="00540C57" w:rsidRPr="00F47702" w:rsidRDefault="00540C57" w:rsidP="008A7E29">
      <w:pPr>
        <w:jc w:val="both"/>
        <w:rPr>
          <w:rFonts w:ascii="Didot" w:hAnsi="Didot" w:cs="Didot"/>
          <w:sz w:val="22"/>
          <w:szCs w:val="22"/>
        </w:rPr>
      </w:pPr>
      <w:r w:rsidRPr="00F47702">
        <w:rPr>
          <w:rFonts w:ascii="Didot" w:hAnsi="Didot" w:cs="Didot"/>
          <w:sz w:val="22"/>
          <w:szCs w:val="22"/>
        </w:rPr>
        <w:tab/>
        <w:t>The message is clear. Although targeted efforts should be made to address circumstances and situations associated with high rates of violence, the more fundamental challenge is to build societies that adequately address basic human needs and foster development of social values and norms that are antithetical to violence. Courts and prisons can support or undermine those values, but little more.</w:t>
      </w:r>
    </w:p>
    <w:p w14:paraId="3BE84D34" w14:textId="77777777" w:rsidR="00160E26" w:rsidRPr="006916FC" w:rsidRDefault="00160E26" w:rsidP="008A7E29">
      <w:pPr>
        <w:jc w:val="both"/>
        <w:rPr>
          <w:rFonts w:ascii="Didot" w:hAnsi="Didot" w:cs="Didot"/>
        </w:rPr>
        <w:sectPr w:rsidR="00160E26" w:rsidRPr="006916FC" w:rsidSect="00160E26">
          <w:type w:val="continuous"/>
          <w:pgSz w:w="11900" w:h="16840"/>
          <w:pgMar w:top="1440" w:right="1800" w:bottom="1440" w:left="1800" w:header="708" w:footer="708" w:gutter="0"/>
          <w:cols w:space="708"/>
          <w:docGrid w:linePitch="360"/>
        </w:sectPr>
      </w:pPr>
    </w:p>
    <w:p w14:paraId="59E6A3F3" w14:textId="77777777" w:rsidR="00E91FDB" w:rsidRPr="006916FC" w:rsidRDefault="00E91FDB" w:rsidP="008A7E29">
      <w:pPr>
        <w:widowControl w:val="0"/>
        <w:pBdr>
          <w:bottom w:val="single" w:sz="6" w:space="1" w:color="auto"/>
        </w:pBdr>
        <w:autoSpaceDE w:val="0"/>
        <w:autoSpaceDN w:val="0"/>
        <w:adjustRightInd w:val="0"/>
        <w:spacing w:after="200"/>
        <w:jc w:val="both"/>
        <w:rPr>
          <w:rFonts w:ascii="Didot" w:hAnsi="Didot" w:cs="Didot"/>
          <w:b/>
          <w:bCs/>
          <w:color w:val="1A1A1A"/>
          <w:lang w:val="en-US"/>
        </w:rPr>
      </w:pPr>
    </w:p>
    <w:p w14:paraId="002C75E0" w14:textId="77777777" w:rsidR="000623D9" w:rsidRPr="006916FC" w:rsidRDefault="000623D9" w:rsidP="008A7E29">
      <w:pPr>
        <w:widowControl w:val="0"/>
        <w:pBdr>
          <w:bottom w:val="single" w:sz="6" w:space="1" w:color="auto"/>
        </w:pBdr>
        <w:autoSpaceDE w:val="0"/>
        <w:autoSpaceDN w:val="0"/>
        <w:adjustRightInd w:val="0"/>
        <w:spacing w:after="200"/>
        <w:jc w:val="both"/>
        <w:rPr>
          <w:rFonts w:ascii="Didot" w:hAnsi="Didot" w:cs="Didot"/>
          <w:b/>
          <w:bCs/>
          <w:color w:val="1A1A1A"/>
          <w:lang w:val="en-US"/>
        </w:rPr>
      </w:pPr>
    </w:p>
    <w:p w14:paraId="44B2C8A0" w14:textId="77777777" w:rsidR="00362AAD" w:rsidRPr="006916FC" w:rsidRDefault="00362AAD" w:rsidP="008A7E29">
      <w:pPr>
        <w:pStyle w:val="Heading2"/>
        <w:jc w:val="both"/>
        <w:rPr>
          <w:rFonts w:ascii="Didot" w:hAnsi="Didot" w:cs="Didot"/>
          <w:color w:val="auto"/>
          <w:sz w:val="34"/>
          <w:szCs w:val="34"/>
        </w:rPr>
      </w:pPr>
      <w:bookmarkStart w:id="132" w:name="_Toc272639946"/>
      <w:bookmarkStart w:id="133" w:name="_Toc272645069"/>
      <w:r w:rsidRPr="006916FC">
        <w:rPr>
          <w:rFonts w:ascii="Didot" w:hAnsi="Didot" w:cs="Didot"/>
          <w:color w:val="auto"/>
          <w:sz w:val="34"/>
          <w:szCs w:val="34"/>
        </w:rPr>
        <w:t>Hualing Fu</w:t>
      </w:r>
      <w:bookmarkEnd w:id="132"/>
      <w:bookmarkEnd w:id="133"/>
    </w:p>
    <w:p w14:paraId="7EC849DD" w14:textId="77777777" w:rsidR="00D84C5F" w:rsidRDefault="00D84C5F" w:rsidP="008A7E29">
      <w:pPr>
        <w:widowControl w:val="0"/>
        <w:autoSpaceDE w:val="0"/>
        <w:autoSpaceDN w:val="0"/>
        <w:adjustRightInd w:val="0"/>
        <w:spacing w:after="200"/>
        <w:jc w:val="both"/>
        <w:rPr>
          <w:rFonts w:ascii="Didot" w:hAnsi="Didot" w:cs="Didot"/>
          <w:b/>
          <w:bCs/>
          <w:color w:val="1A1A1A"/>
          <w:lang w:val="en-US"/>
        </w:rPr>
      </w:pPr>
    </w:p>
    <w:p w14:paraId="19C76916" w14:textId="77777777" w:rsidR="00362AAD" w:rsidRPr="006916FC" w:rsidRDefault="00362AAD" w:rsidP="008A7E29">
      <w:pPr>
        <w:widowControl w:val="0"/>
        <w:autoSpaceDE w:val="0"/>
        <w:autoSpaceDN w:val="0"/>
        <w:adjustRightInd w:val="0"/>
        <w:spacing w:after="200"/>
        <w:jc w:val="both"/>
        <w:rPr>
          <w:rFonts w:ascii="Didot" w:hAnsi="Didot" w:cs="Didot"/>
          <w:b/>
          <w:bCs/>
          <w:color w:val="1A1A1A"/>
          <w:lang w:val="en-US"/>
        </w:rPr>
      </w:pPr>
      <w:r w:rsidRPr="006916FC">
        <w:rPr>
          <w:rFonts w:ascii="Didot" w:hAnsi="Didot" w:cs="Didot"/>
          <w:b/>
          <w:bCs/>
          <w:color w:val="1A1A1A"/>
          <w:lang w:val="en-US"/>
        </w:rPr>
        <w:t>Biography</w:t>
      </w:r>
    </w:p>
    <w:p w14:paraId="12173362" w14:textId="77777777" w:rsidR="00362AAD" w:rsidRPr="00F47702" w:rsidRDefault="00362AAD"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Hualing Fu is a professor of law in the Faculty of Law of the University of Hong Kong. He graduated from the Southwestern University of Politics and Law in Chongqing, China, and received his MA in criminology from the University of Toronto and a doctoral degree from Osgoode Hall Law School in York University, Canada. His research interest includes policing, criminal justice reform and human rights in China. He has published widely in those areas. He has previously taught in City University of Hong Kong, University of Washington, New York University, University of Pennsylvania and other universities in the North America.</w:t>
      </w:r>
    </w:p>
    <w:p w14:paraId="1F1AE788"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p>
    <w:p w14:paraId="66ECC718" w14:textId="77777777" w:rsidR="00E91FDB" w:rsidRPr="006916FC" w:rsidRDefault="00E91FDB"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lastRenderedPageBreak/>
        <w:t>Abstract</w:t>
      </w:r>
    </w:p>
    <w:p w14:paraId="249EDA7B" w14:textId="77777777" w:rsidR="00E91FDB" w:rsidRPr="006916FC" w:rsidRDefault="00E91FDB"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China's Penal Policy Against Violence: Resilience and Challenges</w:t>
      </w:r>
    </w:p>
    <w:p w14:paraId="7D3076B3" w14:textId="77777777" w:rsidR="00E91FDB" w:rsidRPr="00F47702" w:rsidRDefault="00E91FDB" w:rsidP="008A7E29">
      <w:pPr>
        <w:widowControl w:val="0"/>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Although homicide is tragic in terms of its consequences, the causes are often mundane and inextricably linked to ordinary, pre-existing social relationships, including domestic arguments, disagreements between neighbors, disputes over land, water, contractual and lease disputes or simply frivolous grievances which perhaps inevitably arise in overcrowded communities. When homicide is embedded in slowly simmering disputes that escalate gradually and finally boil over into violence, there is undoubtedly an opportunity to detect early warning signs and intervene effectively to prevent such a tragic outcome. In this sense, notwithstanding fraught philosophical debates on the thorny topic of causation, it can be credibly argued that homicide and even murder happen because of missed opportunities for more effective early intervention.</w:t>
      </w:r>
    </w:p>
    <w:p w14:paraId="47469EF2" w14:textId="77777777" w:rsidR="00E91FDB" w:rsidRPr="00F47702" w:rsidRDefault="00E91FDB" w:rsidP="008A7E29">
      <w:pPr>
        <w:widowControl w:val="0"/>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 xml:space="preserve">So this seems to be the essence of the Chinese experience in mitigating violence. China's authoritarian state relies heavily on performance for its legitimacy. China's economic miracle is </w:t>
      </w:r>
      <w:proofErr w:type="gramStart"/>
      <w:r w:rsidRPr="00F47702">
        <w:rPr>
          <w:rFonts w:ascii="Didot" w:hAnsi="Didot" w:cs="Didot"/>
          <w:color w:val="121212"/>
          <w:sz w:val="22"/>
          <w:szCs w:val="22"/>
          <w:lang w:val="en-US"/>
        </w:rPr>
        <w:t>well-known</w:t>
      </w:r>
      <w:proofErr w:type="gramEnd"/>
      <w:r w:rsidRPr="00F47702">
        <w:rPr>
          <w:rFonts w:ascii="Didot" w:hAnsi="Didot" w:cs="Didot"/>
          <w:color w:val="121212"/>
          <w:sz w:val="22"/>
          <w:szCs w:val="22"/>
          <w:lang w:val="en-US"/>
        </w:rPr>
        <w:t xml:space="preserve"> and the high rate of economic growth in the past three decades has transformed Chinese society and provided much needed legitimization for the Chinese Communist Party which faces a democratic deficit. What is less widely publicized, however, is the social miracle, if I may use the term, in the sense that the state has thus far managed to maintain stability and social order during a period of tremendous social and economic transformation and upheaval.</w:t>
      </w:r>
    </w:p>
    <w:p w14:paraId="7B4C95BC" w14:textId="77777777" w:rsidR="00E91FDB" w:rsidRPr="00F47702" w:rsidRDefault="00E91FDB" w:rsidP="008A7E29">
      <w:pPr>
        <w:widowControl w:val="0"/>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 xml:space="preserve">In essence, the </w:t>
      </w:r>
      <w:proofErr w:type="gramStart"/>
      <w:r w:rsidRPr="00F47702">
        <w:rPr>
          <w:rFonts w:ascii="Didot" w:hAnsi="Didot" w:cs="Didot"/>
          <w:color w:val="121212"/>
          <w:sz w:val="22"/>
          <w:szCs w:val="22"/>
          <w:lang w:val="en-US"/>
        </w:rPr>
        <w:t>key</w:t>
      </w:r>
      <w:proofErr w:type="gramEnd"/>
      <w:r w:rsidRPr="00F47702">
        <w:rPr>
          <w:rFonts w:ascii="Didot" w:hAnsi="Didot" w:cs="Didot"/>
          <w:color w:val="121212"/>
          <w:sz w:val="22"/>
          <w:szCs w:val="22"/>
          <w:lang w:val="en-US"/>
        </w:rPr>
        <w:t xml:space="preserve"> to success from the Chinese experience of reducing violence has been </w:t>
      </w:r>
      <w:proofErr w:type="gramStart"/>
      <w:r w:rsidRPr="00F47702">
        <w:rPr>
          <w:rFonts w:ascii="Didot" w:hAnsi="Didot" w:cs="Didot"/>
          <w:color w:val="121212"/>
          <w:sz w:val="22"/>
          <w:szCs w:val="22"/>
          <w:lang w:val="en-US"/>
        </w:rPr>
        <w:t>three types of intervention, especially with regard to the escalation of ordinary disputes with tragic consequences</w:t>
      </w:r>
      <w:proofErr w:type="gramEnd"/>
      <w:r w:rsidRPr="00F47702">
        <w:rPr>
          <w:rFonts w:ascii="Didot" w:hAnsi="Didot" w:cs="Didot"/>
          <w:color w:val="121212"/>
          <w:sz w:val="22"/>
          <w:szCs w:val="22"/>
          <w:lang w:val="en-US"/>
        </w:rPr>
        <w:t>. Those interventionist measures include: 1</w:t>
      </w:r>
      <w:proofErr w:type="gramStart"/>
      <w:r w:rsidRPr="00F47702">
        <w:rPr>
          <w:rFonts w:ascii="Didot" w:hAnsi="Didot" w:cs="Didot"/>
          <w:color w:val="121212"/>
          <w:sz w:val="22"/>
          <w:szCs w:val="22"/>
          <w:lang w:val="en-US"/>
        </w:rPr>
        <w:t>)  a</w:t>
      </w:r>
      <w:proofErr w:type="gramEnd"/>
      <w:r w:rsidRPr="00F47702">
        <w:rPr>
          <w:rFonts w:ascii="Didot" w:hAnsi="Didot" w:cs="Didot"/>
          <w:color w:val="121212"/>
          <w:sz w:val="22"/>
          <w:szCs w:val="22"/>
          <w:lang w:val="en-US"/>
        </w:rPr>
        <w:t xml:space="preserve"> proactive state  in containing social conflict and suppressing disputes; 2) strong gated communities in maintaining local order and disciplining their members; and 3) situational control of good Samaritans, vigilante citizens and responsive bystanders.</w:t>
      </w:r>
    </w:p>
    <w:p w14:paraId="441935BF" w14:textId="77777777" w:rsidR="00E91FDB" w:rsidRPr="00F47702" w:rsidRDefault="00E91FDB" w:rsidP="008A7E29">
      <w:pPr>
        <w:widowControl w:val="0"/>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Despite the Chinese state achieving a low rate of violence in society, it is now facing tremendous challenges in maintaining this. It will be an uphill battle to further curtail the level of violence in society and reduce the level of violence by 50% within the next 30%.</w:t>
      </w:r>
    </w:p>
    <w:p w14:paraId="162FC252" w14:textId="77777777" w:rsidR="00E91FDB" w:rsidRPr="00F47702" w:rsidRDefault="00E91FDB" w:rsidP="008A7E29">
      <w:pPr>
        <w:widowControl w:val="0"/>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My core recommendations are:</w:t>
      </w:r>
    </w:p>
    <w:p w14:paraId="413E86C6" w14:textId="77777777" w:rsidR="00E91FDB" w:rsidRPr="00F47702" w:rsidRDefault="00E91FDB" w:rsidP="008A7E29">
      <w:pPr>
        <w:widowControl w:val="0"/>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1) While the state continues to take a firm stance in proactively intervening to reduce violence, the basis of such intervention should be adjusted to a substantially legal and moral footing as distinct from its presently overly politicized character. State intervention should be extended beyond the narrowly defined category of public order, i.e. violence with direct political repercussions, to cover all types of violence: for example, domestic violence is a significant social issue that requires urgent attention and direct action by the state.</w:t>
      </w:r>
    </w:p>
    <w:p w14:paraId="16C5429B" w14:textId="77777777" w:rsidR="00E91FDB" w:rsidRPr="00F47702" w:rsidRDefault="00E91FDB" w:rsidP="008A7E29">
      <w:pPr>
        <w:widowControl w:val="0"/>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 xml:space="preserve">2) The state should institutionalize its own conflict resolution mechanism by moving beyond typically ad hoc informal and extra-legal interventions. With </w:t>
      </w:r>
      <w:r w:rsidRPr="00F47702">
        <w:rPr>
          <w:rFonts w:ascii="Didot" w:hAnsi="Didot" w:cs="Didot"/>
          <w:color w:val="121212"/>
          <w:sz w:val="22"/>
          <w:szCs w:val="22"/>
          <w:lang w:val="en-US"/>
        </w:rPr>
        <w:lastRenderedPageBreak/>
        <w:t>greater legitimacy, conflict could be effectively channeled to legal institutions for effective resolution instead of resorting to frequently violent forms of 'self-help'. Much of the communal violence over land, water resources and contractual disputes engendering violence and death could have been avoided had the legal institutions been more viable and credible.</w:t>
      </w:r>
    </w:p>
    <w:p w14:paraId="289904A2" w14:textId="77777777" w:rsidR="00B552DA" w:rsidRPr="00F47702" w:rsidRDefault="00E91FDB" w:rsidP="008A7E29">
      <w:pPr>
        <w:widowControl w:val="0"/>
        <w:pBdr>
          <w:bottom w:val="single" w:sz="6" w:space="1" w:color="auto"/>
        </w:pBdr>
        <w:autoSpaceDE w:val="0"/>
        <w:autoSpaceDN w:val="0"/>
        <w:adjustRightInd w:val="0"/>
        <w:spacing w:after="240"/>
        <w:jc w:val="both"/>
        <w:rPr>
          <w:rFonts w:ascii="Didot" w:hAnsi="Didot" w:cs="Didot"/>
          <w:color w:val="121212"/>
          <w:sz w:val="22"/>
          <w:szCs w:val="22"/>
          <w:lang w:val="en-US"/>
        </w:rPr>
      </w:pPr>
      <w:r w:rsidRPr="00F47702">
        <w:rPr>
          <w:rFonts w:ascii="Didot" w:hAnsi="Didot" w:cs="Didot"/>
          <w:color w:val="121212"/>
          <w:sz w:val="22"/>
          <w:szCs w:val="22"/>
          <w:lang w:val="en-US"/>
        </w:rPr>
        <w:t>3) The state should nurture civil society organizations and allow them to play a more active and direct role in nurturing a sense of citizenship and bolstering trust. Social intervention is more effective in preempting violence than state institutions and efficacious social intervention is predicated upon on the accumulation of social capital, forging bonds and bridging the gap between citizens, underpinned by robust social organizations that entrench a sense of belonging.</w:t>
      </w:r>
    </w:p>
    <w:p w14:paraId="115389E7" w14:textId="77777777" w:rsidR="00216034" w:rsidRPr="006916FC" w:rsidRDefault="00216034" w:rsidP="008A7E29">
      <w:pPr>
        <w:widowControl w:val="0"/>
        <w:pBdr>
          <w:bottom w:val="single" w:sz="6" w:space="1" w:color="auto"/>
        </w:pBdr>
        <w:autoSpaceDE w:val="0"/>
        <w:autoSpaceDN w:val="0"/>
        <w:adjustRightInd w:val="0"/>
        <w:spacing w:after="240"/>
        <w:jc w:val="both"/>
        <w:rPr>
          <w:rFonts w:ascii="Didot" w:hAnsi="Didot" w:cs="Didot"/>
          <w:color w:val="121212"/>
          <w:lang w:val="en-US"/>
        </w:rPr>
      </w:pPr>
    </w:p>
    <w:p w14:paraId="4CDE2E98" w14:textId="77777777" w:rsidR="00160E26" w:rsidRPr="006916FC" w:rsidRDefault="00160E26" w:rsidP="008A7E29">
      <w:pPr>
        <w:widowControl w:val="0"/>
        <w:autoSpaceDE w:val="0"/>
        <w:autoSpaceDN w:val="0"/>
        <w:adjustRightInd w:val="0"/>
        <w:spacing w:after="240"/>
        <w:jc w:val="both"/>
        <w:rPr>
          <w:rFonts w:ascii="Didot" w:hAnsi="Didot" w:cs="Didot"/>
          <w:b/>
          <w:color w:val="121212"/>
          <w:lang w:val="en-US"/>
        </w:rPr>
        <w:sectPr w:rsidR="00160E26" w:rsidRPr="006916FC" w:rsidSect="00B86B1F">
          <w:type w:val="continuous"/>
          <w:pgSz w:w="11900" w:h="16840"/>
          <w:pgMar w:top="1440" w:right="1800" w:bottom="1440" w:left="1800" w:header="708" w:footer="708" w:gutter="0"/>
          <w:cols w:space="708"/>
          <w:docGrid w:linePitch="360"/>
        </w:sectPr>
      </w:pPr>
    </w:p>
    <w:p w14:paraId="02AE6898" w14:textId="77777777" w:rsidR="00E91FDB" w:rsidRPr="006916FC" w:rsidRDefault="00E91FDB" w:rsidP="008A7E29">
      <w:pPr>
        <w:widowControl w:val="0"/>
        <w:autoSpaceDE w:val="0"/>
        <w:autoSpaceDN w:val="0"/>
        <w:adjustRightInd w:val="0"/>
        <w:spacing w:after="240"/>
        <w:jc w:val="both"/>
        <w:rPr>
          <w:rFonts w:ascii="Didot" w:hAnsi="Didot" w:cs="Didot"/>
          <w:b/>
          <w:color w:val="121212"/>
          <w:lang w:val="en-US"/>
        </w:rPr>
      </w:pPr>
      <w:r w:rsidRPr="006916FC">
        <w:rPr>
          <w:rFonts w:ascii="Didot" w:hAnsi="Didot" w:cs="Didot"/>
          <w:b/>
          <w:color w:val="121212"/>
          <w:lang w:val="en-US"/>
        </w:rPr>
        <w:lastRenderedPageBreak/>
        <w:t xml:space="preserve">Summary </w:t>
      </w:r>
    </w:p>
    <w:p w14:paraId="4C6720C4" w14:textId="3D6AAD0E" w:rsidR="00B86B1F" w:rsidRPr="006916FC" w:rsidRDefault="00B86B1F" w:rsidP="008A7E29">
      <w:pPr>
        <w:widowControl w:val="0"/>
        <w:autoSpaceDE w:val="0"/>
        <w:autoSpaceDN w:val="0"/>
        <w:adjustRightInd w:val="0"/>
        <w:spacing w:after="200"/>
        <w:jc w:val="both"/>
        <w:rPr>
          <w:rFonts w:ascii="Didot" w:hAnsi="Didot" w:cs="Didot"/>
          <w:b/>
          <w:lang w:val="en-US"/>
        </w:rPr>
      </w:pPr>
      <w:r w:rsidRPr="006916FC">
        <w:rPr>
          <w:rFonts w:ascii="Didot" w:hAnsi="Didot" w:cs="Didot"/>
          <w:b/>
          <w:lang w:val="en-US"/>
        </w:rPr>
        <w:t>China's Penal Policy Against Violence: Resilience and Challenges</w:t>
      </w:r>
    </w:p>
    <w:p w14:paraId="77EF4DDB"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As is the case elsewhere, the perpetrators and victims of homicide in China are usually directly related, or at least romantically or platonically acquainted.  According to the Chinese Supreme People’s Court, as many as 10 per cent of murder that are tried result from domestic violence. The majority of murder cases in China result from everyday conflicts between non-strangers. Although homicide is tragic in terms of its consequences, the causes are often mundane and inextricably linked to ordinary, pre-existing social relationships, including domestic arguments, disagreements between neighbors, disputes over land, water, contractual and lease disputes or simply frivolous grievances which perhaps inevitably. </w:t>
      </w:r>
      <w:r w:rsidRPr="00F47702">
        <w:rPr>
          <w:rFonts w:ascii="Didot" w:hAnsi="Didot" w:cs="Didot"/>
          <w:i/>
          <w:sz w:val="22"/>
          <w:szCs w:val="22"/>
        </w:rPr>
        <w:t xml:space="preserve">When </w:t>
      </w:r>
      <w:r w:rsidRPr="00F47702">
        <w:rPr>
          <w:rFonts w:ascii="Didot" w:hAnsi="Didot" w:cs="Didot"/>
          <w:sz w:val="22"/>
          <w:szCs w:val="22"/>
        </w:rPr>
        <w:t>homicide is embedded in slowly simmering disputes that escalate gradually and finally boil over into violence, there is undoubtedly an opportunity to detect early warning signs and intervene effectively to prevent such a tragic outcome. It can be credibly argued that homicide and even murder happen because of missed opportunities for more effective early intervention.</w:t>
      </w:r>
    </w:p>
    <w:p w14:paraId="328AC512"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China does not systematically publish homicide statistics and it is estimated that in 2006 slightly more than 30,000 homicides occurred in China as a result of the eight most serious categories of crime, including murder, grievous bodily harm causing death and death caused by explosion, poisoning, arson, robbery, kidnapping and rape. Murder comprised approximately </w:t>
      </w:r>
      <w:proofErr w:type="gramStart"/>
      <w:r w:rsidRPr="00F47702">
        <w:rPr>
          <w:rFonts w:ascii="Didot" w:hAnsi="Didot" w:cs="Didot"/>
          <w:sz w:val="22"/>
          <w:szCs w:val="22"/>
        </w:rPr>
        <w:t>70%</w:t>
      </w:r>
      <w:proofErr w:type="gramEnd"/>
      <w:r w:rsidRPr="00F47702">
        <w:rPr>
          <w:rFonts w:ascii="Didot" w:hAnsi="Didot" w:cs="Didot"/>
          <w:sz w:val="22"/>
          <w:szCs w:val="22"/>
        </w:rPr>
        <w:t xml:space="preserve"> of the total number of recorded homicides, resulting in a per capita murder rate of less than 1.5 per 100,000. By 2011, official statistics claim that this figure has been reduced to 0.9 per 100,000. </w:t>
      </w:r>
    </w:p>
    <w:p w14:paraId="10B70D59"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In essence, the key to success from the Chinese experience of reducing violence has been three types of intervention, especially with regard to the escalation of ordinary disputes with tragic consequences.  </w:t>
      </w:r>
    </w:p>
    <w:p w14:paraId="5987BF96"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The first is institutional/political intervention whereby the state provides proactive and effective conflict resolution or alternatively conflict prevention. China probably offers an extreme example in terms of the politicized methods the state uses to preempt private disputes and conflict. The imperative for enhanced social stability and political legitimacy under Communist Party rule offers a stronger explanation for the prevailing model of social control and crisis intervention. In this highly politicized model of control, disputes are regarded as abnormal and constitute a </w:t>
      </w:r>
      <w:r w:rsidRPr="00F47702">
        <w:rPr>
          <w:rFonts w:ascii="Didot" w:hAnsi="Didot" w:cs="Didot"/>
          <w:sz w:val="22"/>
          <w:szCs w:val="22"/>
        </w:rPr>
        <w:lastRenderedPageBreak/>
        <w:t xml:space="preserve">destabilizing factor which needs to be identified promptly and eliminated efficiently. The entire political system is geared to dispute suppression with the principal goal being to end a conflict as soon as it emerges. </w:t>
      </w:r>
    </w:p>
    <w:p w14:paraId="47CDB66F"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It is in this particular political context that early dispute intervention has been practiced in China over the past decade. In solving conflict in particularly sensitive or potentially explosive confrontations, the state relies on multi-institutional co-operation to effect coordinated dispute resolution, which, is literally translated, and referred to as “Big Mediation”. In short, it is big because of the political priority that is attached to social stability due to the volatile, potential wider repercussions of conflict. This in turn is big because failure to end a conflict may have direct repercussions for local political leaders. Facing disputes that may impact on local order, the idea is that the government is able to pull all the relevant resources together in order to effect a short, sharp resolution. Thus, conflict resolution is organized and implemented by state agencies in order to achieve the overriding state objective of maintaining state control. </w:t>
      </w:r>
    </w:p>
    <w:p w14:paraId="39DC8B1A" w14:textId="77777777" w:rsidR="00B552DA" w:rsidRPr="00F47702" w:rsidRDefault="00B552DA" w:rsidP="008A7E29">
      <w:pPr>
        <w:pStyle w:val="NormalIndent"/>
        <w:spacing w:line="240" w:lineRule="auto"/>
        <w:ind w:firstLine="0"/>
        <w:rPr>
          <w:rFonts w:ascii="Didot" w:hAnsi="Didot" w:cs="Didot"/>
          <w:sz w:val="22"/>
        </w:rPr>
      </w:pPr>
      <w:r w:rsidRPr="00F47702">
        <w:rPr>
          <w:rFonts w:ascii="Didot" w:hAnsi="Didot" w:cs="Didot"/>
          <w:sz w:val="22"/>
        </w:rPr>
        <w:t>Proactive early intervention serves multiple state goals and forms part of the larger panoply of pre-emptive mechanisms reduce the overall, aggregate effect by ensuring that individual disputes are not allowed to cyrstalise into a perilous and violent confratation or collective actions. Therefore, the government is adopting a pragmatic approach in identifying and classifying potential threats according to the relative level of danger, thereby taking pre-emptive measures accordingly and minimising the risk factor. Ultimately,  the government has orchestrated, and invested in, a costly control network whose focal point is the identification of the sources of disputes together with the aggressive imposition of a timely settlement.</w:t>
      </w:r>
    </w:p>
    <w:p w14:paraId="5CD148EC"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In the course of the intervention process I have described, legal rules matter little, and rights are often irrelevant. Indeed, at the heart of this political model of control is a presumption of the irrelevance of established rules, in particular, legal rules. A defining characteristic of so-called ‘exceptional states’ such as China’s, in imposing the semblance of stability in the face of tremendous social transformations can be found in the extensive use of informal and extra-legal measures with the aim of responding to any given crisis, perceived or real, with a high degree of efficiency. Police power is crucial in this process and the Chinese success in reducing violence depends on the pivotal role the police play in social ordering. </w:t>
      </w:r>
    </w:p>
    <w:p w14:paraId="63E775D3"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The second type of intervention is the community-based intervention, including work place-based intervention and residential community-based intervention. Community-based intervention offers the institutional basis for politicized intervention and demonstrates unique characteristics.  While increasing social mobility in China has caused a gradual decline in the power of residential communities as agents of the state that used to exert substantial political and social control, gated workplaces remain instrumental in controlling migrant workers who constitute the majority of China’s new working class. Since the vast majority of migrants that work in the manufacturing sector, factories serve a crucial function of policing and disciplining labor on behalf of the state. </w:t>
      </w:r>
    </w:p>
    <w:p w14:paraId="41A015AA"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After farmers were allowed to enter cities to work in factories from the early 1990s, as a strict rule with few exceptions they live within the confines of the same factory compounds where they work. The institutionalization of migrant workers on such an industrial scale is unprecedented in human society. When 150 million migrant workers left their homes and arrived in different cities, they did not create the kind of urban slums which are a regular phenomenon in societies undergoing dramatic </w:t>
      </w:r>
      <w:r w:rsidRPr="00F47702">
        <w:rPr>
          <w:rFonts w:ascii="Didot" w:hAnsi="Didot" w:cs="Didot"/>
          <w:sz w:val="22"/>
          <w:szCs w:val="22"/>
        </w:rPr>
        <w:lastRenderedPageBreak/>
        <w:t>social and economic transitions. Instead they vanished quickly and quietly within the factory walls, quickly becoming invisible- in Chinese, rural migrants are colloquially referred to as a ‘floating population’.  They work and live largely in isolation in a highly disciplined fashion and there is very little interaction between these migrants and the surrounding urban life. Low violence and low crime rates in China have a lot to do with the effective institutionalization of those young men and women; this near total institutionalization significantly reduces the destabilizing potential of rapid urbanization.</w:t>
      </w:r>
    </w:p>
    <w:p w14:paraId="356BF7D2"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Of course, how long these walls erected by the Chinese state and economy can continue to remain impregnable and detain migrants workers within the environs of the factory, however disciplined and silenced, is highly questionable. The process of urbanization is slowly and steadily ratcheting up its destructive impact on Chinese urban and rural communities as it slowly eats away at the traditional or revolutionary Leninist norms and control mechanisms. People are changing because of the social and economic climate is shifting. In general, younger generations are much less tolerant of authoritarian leaders; there is a stronger demand for private space where public power is kept at arm’s length; and rules are beginning to matter more in guiding human interaction and restricting state powers. Quite simply gated communities, whether workplaces or residential communities, no long have the power or resources to discipline and control their members so tightly. </w:t>
      </w:r>
    </w:p>
    <w:p w14:paraId="0A0EFDB2"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While the institutions of the </w:t>
      </w:r>
      <w:r w:rsidRPr="00F47702">
        <w:rPr>
          <w:rFonts w:ascii="Didot" w:hAnsi="Didot" w:cs="Didot"/>
          <w:i/>
          <w:sz w:val="22"/>
          <w:szCs w:val="22"/>
        </w:rPr>
        <w:t>ancien regime</w:t>
      </w:r>
      <w:r w:rsidRPr="00F47702">
        <w:rPr>
          <w:rFonts w:ascii="Didot" w:hAnsi="Didot" w:cs="Didot"/>
          <w:sz w:val="22"/>
          <w:szCs w:val="22"/>
        </w:rPr>
        <w:t xml:space="preserve"> are crumbling, China lacks a strong and vibrant civil society that is independent of the state and can fill the void opened by the gradual decline of the gated communities. While the state promotes or organizes “Big Mediation” and solicits societal support, it is suspicious of autonomous societal organizations and tries to limit their growth so that they would not constitute a challenge to the Party’s monopoly on political power. Social control that is exerted by churches, trade associations, unions and other civil society organizations is simply not available. Instead the state steps in and fills the gap leading to an over-politicization, which in turn weakens society’s capacity for self-governance. Indeed, private conflict resolution is often interpreted as a negative, unnecessary intrusion into government authority unless it is effectively co-opted by the official system, creating a dependence on the authoritarian state for conflict resolution and the trap of what Fukuyama refers to as a ‘low trust society’ in which cooperation cannot be effectively extended beyond clientelist family and patronage networks.</w:t>
      </w:r>
    </w:p>
    <w:p w14:paraId="7C27574C"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This brings </w:t>
      </w:r>
      <w:proofErr w:type="gramStart"/>
      <w:r w:rsidRPr="00F47702">
        <w:rPr>
          <w:rFonts w:ascii="Didot" w:hAnsi="Didot" w:cs="Didot"/>
          <w:sz w:val="22"/>
          <w:szCs w:val="22"/>
        </w:rPr>
        <w:t>me</w:t>
      </w:r>
      <w:proofErr w:type="gramEnd"/>
      <w:r w:rsidRPr="00F47702">
        <w:rPr>
          <w:rFonts w:ascii="Didot" w:hAnsi="Didot" w:cs="Didot"/>
          <w:sz w:val="22"/>
          <w:szCs w:val="22"/>
        </w:rPr>
        <w:t xml:space="preserve"> to my final category of early intervention by bystanders, which comprises the situational control of good Samaritans, vigilante citizens and responsive bystanders who perhaps exceptionally care about the wellbeing of fellow citizens at personal risk to the extent that they are willing to render help when it is needed. Situational intervention by fellow citizens is in fact the most effective means of early intervention. Conflict necessarily originates from regular human interactions and, as such, occurs everywhere with the upshot that all institutions, no matter how effective and resourceful, are intrinsically limited in dealing with the specter of omnipresent conflict. It is this bottom-up, citizen-initiated and spontaneous intervention as embryonic conflicts unfold that is most effective in controlling the escalation of conflict and reducing violence. </w:t>
      </w:r>
    </w:p>
    <w:p w14:paraId="0C4D0350"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That said, situational social intervention by civil society in general and bystanders in particular is the weakest link in the chain of the outright prevention of violence in China. Just as there is an excessive politicization of conflict resolution, there is </w:t>
      </w:r>
      <w:r w:rsidRPr="00F47702">
        <w:rPr>
          <w:rFonts w:ascii="Didot" w:hAnsi="Didot" w:cs="Didot"/>
          <w:sz w:val="22"/>
          <w:szCs w:val="22"/>
        </w:rPr>
        <w:lastRenderedPageBreak/>
        <w:t xml:space="preserve">only a limited socialization of early intervention. The state enjoys a monopoly over resources and sets the agenda, however in the process of controlling conflict, the state perversely diminishes the self-governing capacity of civil society and limits the spontaneity of citizen activism.  There is a well-recognized bystander apathy as demonstrated by a series of high-profile cases in which bystanders withhold help from fellow Chinese at the very time that they need it the most leading to shocking human tragedies.  Good Samaritans in China are commonly viewed with suspicion, misunderstood or else generally receive negative treatment, effectively disincentivizing the natural human instinct to hold out a helping hand. In the final analysis it is this concerted institutional indifference fostering an unwillingness among neighbors to intervene for the common good that is the most serious cultural and institutional hurdle to further reducing violence in China.  </w:t>
      </w:r>
    </w:p>
    <w:p w14:paraId="0184BB8E"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Policy Recommendations:</w:t>
      </w:r>
    </w:p>
    <w:p w14:paraId="5C1BDF7F"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State intervention should be adjusted to a substantially legal and moral footing as distinct from its presently overly politicized character. State intervention should be extended beyond the narrowly defined category of public order, i.e. violence with direct political repercussions, to cover all types of violence such as domestic violence. </w:t>
      </w:r>
    </w:p>
    <w:p w14:paraId="3459EBB9"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The state should institutionalize its own conflict resolution mechanism by moving beyond typically </w:t>
      </w:r>
      <w:r w:rsidRPr="00F47702">
        <w:rPr>
          <w:rFonts w:ascii="Didot" w:hAnsi="Didot" w:cs="Didot"/>
          <w:i/>
          <w:sz w:val="22"/>
          <w:szCs w:val="22"/>
        </w:rPr>
        <w:t>ad hoc</w:t>
      </w:r>
      <w:r w:rsidRPr="00F47702">
        <w:rPr>
          <w:rFonts w:ascii="Didot" w:hAnsi="Didot" w:cs="Didot"/>
          <w:sz w:val="22"/>
          <w:szCs w:val="22"/>
        </w:rPr>
        <w:t xml:space="preserve"> informal and extra-legal interventions. </w:t>
      </w:r>
      <w:proofErr w:type="gramStart"/>
      <w:r w:rsidRPr="00F47702">
        <w:rPr>
          <w:rFonts w:ascii="Didot" w:hAnsi="Didot" w:cs="Didot"/>
          <w:sz w:val="22"/>
          <w:szCs w:val="22"/>
        </w:rPr>
        <w:t>With greater legitimacy, conflict could be effectively channeled to legal institutions for effective resolution instead of resorting to frequently violent forms of ‘self-help’</w:t>
      </w:r>
      <w:proofErr w:type="gramEnd"/>
      <w:r w:rsidRPr="00F47702">
        <w:rPr>
          <w:rFonts w:ascii="Didot" w:hAnsi="Didot" w:cs="Didot"/>
          <w:sz w:val="22"/>
          <w:szCs w:val="22"/>
        </w:rPr>
        <w:t xml:space="preserve">.  </w:t>
      </w:r>
    </w:p>
    <w:p w14:paraId="78B4DC50" w14:textId="77777777" w:rsidR="00B552DA" w:rsidRPr="00F47702" w:rsidRDefault="00B552DA" w:rsidP="008A7E29">
      <w:pPr>
        <w:jc w:val="both"/>
        <w:rPr>
          <w:rFonts w:ascii="Didot" w:hAnsi="Didot" w:cs="Didot"/>
          <w:sz w:val="22"/>
          <w:szCs w:val="22"/>
        </w:rPr>
      </w:pPr>
      <w:r w:rsidRPr="00F47702">
        <w:rPr>
          <w:rFonts w:ascii="Didot" w:hAnsi="Didot" w:cs="Didot"/>
          <w:sz w:val="22"/>
          <w:szCs w:val="22"/>
        </w:rPr>
        <w:t xml:space="preserve">The state should nurture civil society organizations and allow them to play a more active and direct role in nurturing a sense of citizenship and bolstering trust. </w:t>
      </w:r>
    </w:p>
    <w:p w14:paraId="4D74ED89" w14:textId="77777777" w:rsidR="00160E26" w:rsidRPr="00F47702" w:rsidRDefault="00160E26" w:rsidP="008A7E29">
      <w:pPr>
        <w:widowControl w:val="0"/>
        <w:autoSpaceDE w:val="0"/>
        <w:autoSpaceDN w:val="0"/>
        <w:adjustRightInd w:val="0"/>
        <w:spacing w:after="240"/>
        <w:jc w:val="both"/>
        <w:rPr>
          <w:rFonts w:ascii="Didot" w:hAnsi="Didot" w:cs="Didot"/>
          <w:color w:val="121212"/>
          <w:sz w:val="22"/>
          <w:szCs w:val="22"/>
          <w:lang w:val="en-US"/>
        </w:rPr>
        <w:sectPr w:rsidR="00160E26" w:rsidRPr="00F47702" w:rsidSect="00160E26">
          <w:type w:val="continuous"/>
          <w:pgSz w:w="11900" w:h="16840"/>
          <w:pgMar w:top="1440" w:right="1800" w:bottom="1440" w:left="1800" w:header="708" w:footer="708" w:gutter="0"/>
          <w:cols w:space="708"/>
          <w:docGrid w:linePitch="360"/>
        </w:sectPr>
      </w:pPr>
    </w:p>
    <w:p w14:paraId="19C98002" w14:textId="77777777" w:rsidR="00B552DA" w:rsidRPr="00F47702" w:rsidRDefault="00B552DA" w:rsidP="008A7E29">
      <w:pPr>
        <w:widowControl w:val="0"/>
        <w:autoSpaceDE w:val="0"/>
        <w:autoSpaceDN w:val="0"/>
        <w:adjustRightInd w:val="0"/>
        <w:spacing w:after="240"/>
        <w:jc w:val="both"/>
        <w:rPr>
          <w:rFonts w:ascii="Didot" w:hAnsi="Didot" w:cs="Didot"/>
          <w:color w:val="121212"/>
          <w:sz w:val="22"/>
          <w:szCs w:val="22"/>
          <w:lang w:val="en-US"/>
        </w:rPr>
      </w:pPr>
    </w:p>
    <w:p w14:paraId="62407B08" w14:textId="77777777" w:rsidR="00362AAD" w:rsidRPr="00F47702" w:rsidRDefault="00362AAD" w:rsidP="008A7E29">
      <w:pPr>
        <w:widowControl w:val="0"/>
        <w:autoSpaceDE w:val="0"/>
        <w:autoSpaceDN w:val="0"/>
        <w:adjustRightInd w:val="0"/>
        <w:spacing w:after="200"/>
        <w:jc w:val="both"/>
        <w:rPr>
          <w:rFonts w:ascii="Didot" w:hAnsi="Didot" w:cs="Didot"/>
          <w:color w:val="121212"/>
          <w:sz w:val="22"/>
          <w:szCs w:val="22"/>
          <w:lang w:val="en-US"/>
        </w:rPr>
      </w:pPr>
    </w:p>
    <w:sectPr w:rsidR="00362AAD" w:rsidRPr="00F47702" w:rsidSect="00B86B1F">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A60E" w14:textId="77777777" w:rsidR="000E4419" w:rsidRDefault="000E4419" w:rsidP="00B552DA">
      <w:r>
        <w:separator/>
      </w:r>
    </w:p>
  </w:endnote>
  <w:endnote w:type="continuationSeparator" w:id="0">
    <w:p w14:paraId="4106EDD3" w14:textId="77777777" w:rsidR="000E4419" w:rsidRDefault="000E4419" w:rsidP="00B552DA">
      <w:r>
        <w:continuationSeparator/>
      </w:r>
    </w:p>
  </w:endnote>
  <w:endnote w:id="1">
    <w:p w14:paraId="0044F0C0" w14:textId="77777777" w:rsidR="000E4419" w:rsidRPr="0079234D" w:rsidRDefault="000E4419" w:rsidP="009A5196">
      <w:pPr>
        <w:rPr>
          <w:i/>
          <w:sz w:val="18"/>
          <w:lang w:val="en-CA"/>
        </w:rPr>
      </w:pPr>
      <w:r w:rsidRPr="0079234D">
        <w:rPr>
          <w:rStyle w:val="EndnoteReference"/>
          <w:sz w:val="18"/>
        </w:rPr>
        <w:endnoteRef/>
      </w:r>
      <w:r w:rsidRPr="0079234D">
        <w:rPr>
          <w:i/>
          <w:sz w:val="18"/>
          <w:lang w:val="en-CA"/>
        </w:rPr>
        <w:t xml:space="preserve"> Friedman, L.J. and McGarvie, M.D. (2003). </w:t>
      </w:r>
      <w:proofErr w:type="gramStart"/>
      <w:r w:rsidRPr="0079234D">
        <w:rPr>
          <w:i/>
          <w:sz w:val="18"/>
          <w:lang w:val="en-CA"/>
        </w:rPr>
        <w:t>Charity, Philanthropy, and Civility in American History.</w:t>
      </w:r>
      <w:proofErr w:type="gramEnd"/>
      <w:r w:rsidRPr="0079234D">
        <w:rPr>
          <w:i/>
          <w:sz w:val="18"/>
          <w:lang w:val="en-CA"/>
        </w:rPr>
        <w:t xml:space="preserve"> </w:t>
      </w:r>
      <w:proofErr w:type="gramStart"/>
      <w:r w:rsidRPr="0079234D">
        <w:rPr>
          <w:i/>
          <w:sz w:val="18"/>
          <w:lang w:val="en-CA"/>
        </w:rPr>
        <w:t>Cambridge University Press.</w:t>
      </w:r>
      <w:proofErr w:type="gramEnd"/>
      <w:r w:rsidRPr="0079234D">
        <w:rPr>
          <w:i/>
          <w:sz w:val="18"/>
          <w:lang w:val="en-CA"/>
        </w:rPr>
        <w:t xml:space="preserve"> </w:t>
      </w:r>
    </w:p>
  </w:endnote>
  <w:endnote w:id="2">
    <w:p w14:paraId="6FD49644" w14:textId="77777777" w:rsidR="000E4419" w:rsidRPr="0079234D" w:rsidRDefault="000E4419" w:rsidP="009A5196">
      <w:pPr>
        <w:pStyle w:val="EndnoteText"/>
        <w:rPr>
          <w:i/>
          <w:sz w:val="18"/>
          <w:lang w:val="en-CA"/>
        </w:rPr>
      </w:pPr>
      <w:r w:rsidRPr="0079234D">
        <w:rPr>
          <w:rStyle w:val="EndnoteReference"/>
          <w:sz w:val="18"/>
        </w:rPr>
        <w:endnoteRef/>
      </w:r>
      <w:r w:rsidRPr="0079234D">
        <w:rPr>
          <w:i/>
          <w:sz w:val="18"/>
          <w:lang w:val="en-CA"/>
        </w:rPr>
        <w:t xml:space="preserve"> Zunz, O. (2011), Philanthropy in America: A History. Princeton University Press</w:t>
      </w:r>
    </w:p>
  </w:endnote>
  <w:endnote w:id="3">
    <w:p w14:paraId="50B4A83B" w14:textId="77777777" w:rsidR="000E4419" w:rsidRPr="0079234D" w:rsidRDefault="000E4419" w:rsidP="00296086">
      <w:pPr>
        <w:rPr>
          <w:i/>
          <w:sz w:val="18"/>
          <w:lang w:val="en-CA"/>
        </w:rPr>
      </w:pPr>
      <w:r w:rsidRPr="0079234D">
        <w:rPr>
          <w:rStyle w:val="EndnoteReference"/>
          <w:sz w:val="18"/>
        </w:rPr>
        <w:endnoteRef/>
      </w:r>
      <w:r w:rsidRPr="0079234D">
        <w:rPr>
          <w:i/>
          <w:sz w:val="18"/>
          <w:lang w:val="en-CA"/>
        </w:rPr>
        <w:t xml:space="preserve"> Bannick, M. and Goldman, P. (2012). “Embracing the Full Investment Continuum”. </w:t>
      </w:r>
      <w:proofErr w:type="gramStart"/>
      <w:r w:rsidRPr="0079234D">
        <w:rPr>
          <w:i/>
          <w:sz w:val="18"/>
          <w:lang w:val="en-CA"/>
        </w:rPr>
        <w:t>Stanford Social Innovation Review.</w:t>
      </w:r>
      <w:proofErr w:type="gramEnd"/>
      <w:r w:rsidRPr="0079234D">
        <w:rPr>
          <w:i/>
          <w:sz w:val="18"/>
          <w:lang w:val="en-CA"/>
        </w:rPr>
        <w:t xml:space="preserve"> Sept. 26, 2012. </w:t>
      </w:r>
    </w:p>
  </w:endnote>
  <w:endnote w:id="4">
    <w:p w14:paraId="3DA6BD19" w14:textId="77777777" w:rsidR="000E4419" w:rsidRPr="0079234D" w:rsidRDefault="000E4419" w:rsidP="00296086">
      <w:pPr>
        <w:rPr>
          <w:i/>
          <w:sz w:val="18"/>
          <w:lang w:val="en-CA"/>
        </w:rPr>
      </w:pPr>
      <w:r w:rsidRPr="0079234D">
        <w:rPr>
          <w:rStyle w:val="EndnoteReference"/>
          <w:sz w:val="18"/>
        </w:rPr>
        <w:endnoteRef/>
      </w:r>
      <w:r w:rsidRPr="0079234D">
        <w:rPr>
          <w:i/>
          <w:sz w:val="18"/>
          <w:lang w:val="en-CA"/>
        </w:rPr>
        <w:t xml:space="preserve"> Buteau, E., Buchanan, P., Bolanos, C., Brock, A. and Chang, K. (2008). “More than Money: Making a Difference with Assistance beyond the Grant.” </w:t>
      </w:r>
      <w:proofErr w:type="gramStart"/>
      <w:r w:rsidRPr="0079234D">
        <w:rPr>
          <w:i/>
          <w:sz w:val="18"/>
          <w:lang w:val="en-CA"/>
        </w:rPr>
        <w:t>The Center for Effective Philanthropy.</w:t>
      </w:r>
      <w:proofErr w:type="gramEnd"/>
      <w:r w:rsidRPr="0079234D">
        <w:rPr>
          <w:i/>
          <w:sz w:val="18"/>
          <w:lang w:val="en-CA"/>
        </w:rPr>
        <w:t xml:space="preserve"> </w:t>
      </w:r>
    </w:p>
  </w:endnote>
  <w:endnote w:id="5">
    <w:p w14:paraId="6938438E" w14:textId="77777777" w:rsidR="000E4419" w:rsidRPr="0079234D" w:rsidRDefault="000E4419" w:rsidP="00296086">
      <w:pPr>
        <w:pStyle w:val="EndnoteText"/>
        <w:rPr>
          <w:i/>
          <w:sz w:val="18"/>
          <w:szCs w:val="18"/>
          <w:lang w:val="en-GB"/>
        </w:rPr>
      </w:pPr>
      <w:r w:rsidRPr="0079234D">
        <w:rPr>
          <w:rStyle w:val="EndnoteReference"/>
          <w:sz w:val="18"/>
          <w:szCs w:val="18"/>
        </w:rPr>
        <w:endnoteRef/>
      </w:r>
      <w:r w:rsidRPr="0079234D">
        <w:rPr>
          <w:rStyle w:val="EndnoteReference"/>
          <w:sz w:val="18"/>
          <w:szCs w:val="18"/>
          <w:lang w:val="en-US"/>
        </w:rPr>
        <w:t xml:space="preserve"> </w:t>
      </w:r>
      <w:proofErr w:type="gramStart"/>
      <w:r w:rsidRPr="0079234D">
        <w:rPr>
          <w:i/>
          <w:sz w:val="18"/>
          <w:szCs w:val="18"/>
          <w:lang w:val="en-GB"/>
        </w:rPr>
        <w:t>World Health Organization.</w:t>
      </w:r>
      <w:proofErr w:type="gramEnd"/>
      <w:r w:rsidRPr="0079234D">
        <w:rPr>
          <w:i/>
          <w:sz w:val="18"/>
          <w:szCs w:val="18"/>
          <w:lang w:val="en-GB"/>
        </w:rPr>
        <w:t xml:space="preserve"> </w:t>
      </w:r>
      <w:proofErr w:type="gramStart"/>
      <w:r w:rsidRPr="0079234D">
        <w:rPr>
          <w:i/>
          <w:sz w:val="18"/>
          <w:szCs w:val="18"/>
          <w:lang w:val="en-GB"/>
        </w:rPr>
        <w:t>World Report on Violence and Health.</w:t>
      </w:r>
      <w:proofErr w:type="gramEnd"/>
      <w:r w:rsidRPr="0079234D">
        <w:rPr>
          <w:i/>
          <w:sz w:val="18"/>
          <w:szCs w:val="18"/>
          <w:lang w:val="en-GB"/>
        </w:rPr>
        <w:t xml:space="preserve"> (2002)</w:t>
      </w:r>
    </w:p>
  </w:endnote>
  <w:endnote w:id="6">
    <w:p w14:paraId="2E8480BE" w14:textId="77777777" w:rsidR="000E4419" w:rsidRPr="0079234D" w:rsidRDefault="000E4419" w:rsidP="00296086">
      <w:pPr>
        <w:pStyle w:val="EndnoteText"/>
        <w:rPr>
          <w:i/>
          <w:sz w:val="18"/>
          <w:lang w:val="en-US"/>
        </w:rPr>
      </w:pPr>
      <w:r w:rsidRPr="0079234D">
        <w:rPr>
          <w:rStyle w:val="EndnoteReference"/>
          <w:sz w:val="18"/>
        </w:rPr>
        <w:endnoteRef/>
      </w:r>
      <w:r w:rsidRPr="0079234D">
        <w:rPr>
          <w:i/>
          <w:sz w:val="18"/>
          <w:lang w:val="en-US"/>
        </w:rPr>
        <w:t xml:space="preserve"> </w:t>
      </w:r>
      <w:r w:rsidRPr="0079234D">
        <w:rPr>
          <w:i/>
          <w:sz w:val="18"/>
          <w:szCs w:val="18"/>
          <w:lang w:val="en-GB"/>
        </w:rPr>
        <w:t xml:space="preserve">Walker SP, Wachs TD, Grantham-McGregor S, et al.  Inequality in early childhood: risk and protective factors for early child development.  The Lancet, </w:t>
      </w:r>
      <w:hyperlink r:id="rId1" w:history="1">
        <w:r w:rsidRPr="0079234D">
          <w:rPr>
            <w:i/>
            <w:sz w:val="18"/>
            <w:szCs w:val="18"/>
            <w:lang w:val="en-GB"/>
          </w:rPr>
          <w:t>Volume 378, Issue 9799</w:t>
        </w:r>
      </w:hyperlink>
      <w:r w:rsidRPr="0079234D">
        <w:rPr>
          <w:i/>
          <w:sz w:val="18"/>
          <w:szCs w:val="18"/>
          <w:lang w:val="en-GB"/>
        </w:rPr>
        <w:t>, Pages 1325 - 1338, 8 October 2011</w:t>
      </w:r>
    </w:p>
  </w:endnote>
  <w:endnote w:id="7">
    <w:p w14:paraId="2C4BD0EA" w14:textId="77777777" w:rsidR="000E4419" w:rsidRPr="0079234D" w:rsidRDefault="000E4419" w:rsidP="00296086">
      <w:pPr>
        <w:pStyle w:val="EndnoteText"/>
        <w:rPr>
          <w:i/>
          <w:sz w:val="18"/>
          <w:lang w:val="en-US"/>
        </w:rPr>
      </w:pPr>
      <w:r w:rsidRPr="0079234D">
        <w:rPr>
          <w:rStyle w:val="EndnoteReference"/>
          <w:sz w:val="18"/>
        </w:rPr>
        <w:endnoteRef/>
      </w:r>
      <w:r w:rsidRPr="0079234D">
        <w:rPr>
          <w:i/>
          <w:sz w:val="18"/>
          <w:lang w:val="en-US"/>
        </w:rPr>
        <w:t xml:space="preserve"> </w:t>
      </w:r>
      <w:r w:rsidRPr="0079234D">
        <w:rPr>
          <w:i/>
          <w:sz w:val="18"/>
          <w:szCs w:val="18"/>
          <w:lang w:val="en-GB"/>
        </w:rPr>
        <w:t>Butchard, A.  (2006). Preventing child maltreatment:  A guide to taking action and generating evidence.  Geneva: WHO/ISPCAN</w:t>
      </w:r>
    </w:p>
  </w:endnote>
  <w:endnote w:id="8">
    <w:p w14:paraId="739A7D51" w14:textId="77777777" w:rsidR="000E4419" w:rsidRPr="0079234D" w:rsidRDefault="000E4419" w:rsidP="00296086">
      <w:pPr>
        <w:pStyle w:val="EndnoteText"/>
        <w:rPr>
          <w:i/>
          <w:sz w:val="18"/>
          <w:szCs w:val="18"/>
          <w:lang w:val="en-GB"/>
        </w:rPr>
      </w:pPr>
      <w:r w:rsidRPr="0079234D">
        <w:rPr>
          <w:rStyle w:val="EndnoteReference"/>
          <w:sz w:val="18"/>
        </w:rPr>
        <w:endnoteRef/>
      </w:r>
      <w:r w:rsidRPr="0079234D">
        <w:rPr>
          <w:rStyle w:val="EndnoteReference"/>
          <w:sz w:val="18"/>
          <w:lang w:val="en-US"/>
        </w:rPr>
        <w:t xml:space="preserve"> </w:t>
      </w:r>
      <w:r w:rsidRPr="0079234D">
        <w:rPr>
          <w:i/>
          <w:sz w:val="18"/>
          <w:szCs w:val="18"/>
          <w:lang w:val="en-GB"/>
        </w:rPr>
        <w:t>Heckman, J.  (2008)</w:t>
      </w:r>
      <w:proofErr w:type="gramStart"/>
      <w:r w:rsidRPr="0079234D">
        <w:rPr>
          <w:i/>
          <w:sz w:val="18"/>
          <w:szCs w:val="18"/>
          <w:lang w:val="en-GB"/>
        </w:rPr>
        <w:t>, The Case for Investing in Disadvantaged Young Children.</w:t>
      </w:r>
      <w:proofErr w:type="gramEnd"/>
      <w:r w:rsidRPr="0079234D">
        <w:rPr>
          <w:i/>
          <w:sz w:val="18"/>
          <w:szCs w:val="18"/>
          <w:lang w:val="en-GB"/>
        </w:rPr>
        <w:t xml:space="preserve">  Big ideas for children: Investing in our nation's future (pp.  49-58). Washington, DC: First Focus.</w:t>
      </w:r>
    </w:p>
  </w:endnote>
  <w:endnote w:id="9">
    <w:p w14:paraId="08C6843D" w14:textId="77777777" w:rsidR="000E4419" w:rsidRPr="0079234D" w:rsidRDefault="000E4419" w:rsidP="00296086">
      <w:pPr>
        <w:pStyle w:val="EndnoteText"/>
        <w:rPr>
          <w:i/>
          <w:sz w:val="18"/>
          <w:lang w:val="en-US"/>
        </w:rPr>
      </w:pPr>
      <w:r w:rsidRPr="0079234D">
        <w:rPr>
          <w:rStyle w:val="EndnoteReference"/>
          <w:sz w:val="18"/>
        </w:rPr>
        <w:endnoteRef/>
      </w:r>
      <w:r w:rsidRPr="005C51F0">
        <w:rPr>
          <w:i/>
          <w:sz w:val="18"/>
          <w:lang w:val="en-US"/>
        </w:rPr>
        <w:t xml:space="preserve"> </w:t>
      </w:r>
      <w:r w:rsidRPr="005C51F0">
        <w:rPr>
          <w:i/>
          <w:sz w:val="18"/>
          <w:szCs w:val="18"/>
          <w:lang w:val="en-US"/>
        </w:rPr>
        <w:t xml:space="preserve">Mollica, R.  F., Cardozo, B.  </w:t>
      </w:r>
      <w:r w:rsidRPr="0079234D">
        <w:rPr>
          <w:i/>
          <w:sz w:val="18"/>
          <w:szCs w:val="18"/>
          <w:lang w:val="en-GB"/>
        </w:rPr>
        <w:t>L., Osofsky, H.  J., Raphael, B., Ager, A., &amp; Salama, P.  (2004)</w:t>
      </w:r>
      <w:proofErr w:type="gramStart"/>
      <w:r w:rsidRPr="0079234D">
        <w:rPr>
          <w:i/>
          <w:sz w:val="18"/>
          <w:szCs w:val="18"/>
          <w:lang w:val="en-GB"/>
        </w:rPr>
        <w:t>. Mental health in complex emergencies.</w:t>
      </w:r>
      <w:proofErr w:type="gramEnd"/>
      <w:r w:rsidRPr="0079234D">
        <w:rPr>
          <w:i/>
          <w:sz w:val="18"/>
          <w:szCs w:val="18"/>
          <w:lang w:val="en-GB"/>
        </w:rPr>
        <w:t xml:space="preserve">  The Lancet, 364, 2058–2067.</w:t>
      </w:r>
    </w:p>
  </w:endnote>
  <w:endnote w:id="10">
    <w:p w14:paraId="42CBDCB8" w14:textId="77777777" w:rsidR="000E4419" w:rsidRPr="0079234D" w:rsidRDefault="000E4419" w:rsidP="00296086">
      <w:pPr>
        <w:pStyle w:val="EndnoteText"/>
        <w:ind w:left="180" w:hanging="180"/>
        <w:rPr>
          <w:i/>
          <w:sz w:val="18"/>
          <w:lang w:val="en-US"/>
        </w:rPr>
      </w:pPr>
      <w:r w:rsidRPr="0079234D">
        <w:rPr>
          <w:rStyle w:val="EndnoteReference"/>
          <w:rFonts w:cs="Times New Roman"/>
          <w:sz w:val="18"/>
          <w:lang w:val="fr-FR" w:eastAsia="de-CH" w:bidi="he-IL"/>
        </w:rPr>
        <w:endnoteRef/>
      </w:r>
      <w:r w:rsidRPr="0079234D">
        <w:rPr>
          <w:i/>
          <w:sz w:val="18"/>
          <w:lang w:val="en-US"/>
        </w:rPr>
        <w:t xml:space="preserve"> Shonkoff, J.  P., &amp; Phillips, D.  A. (Eds.).  (2000). From neurons to neighborhoods:  The science of early childhood development.  Washington, DC: National Academy Press.</w:t>
      </w:r>
    </w:p>
  </w:endnote>
  <w:endnote w:id="11">
    <w:p w14:paraId="21DF6067" w14:textId="77777777" w:rsidR="000E4419" w:rsidRPr="0079234D" w:rsidRDefault="000E4419" w:rsidP="00296086">
      <w:pPr>
        <w:pStyle w:val="EndnoteText"/>
        <w:rPr>
          <w:i/>
          <w:sz w:val="18"/>
          <w:szCs w:val="18"/>
          <w:lang w:val="en-GB"/>
        </w:rPr>
      </w:pPr>
      <w:r w:rsidRPr="0079234D">
        <w:rPr>
          <w:rStyle w:val="EndnoteReference"/>
          <w:sz w:val="18"/>
        </w:rPr>
        <w:endnoteRef/>
      </w:r>
      <w:r w:rsidRPr="0079234D">
        <w:rPr>
          <w:i/>
          <w:sz w:val="18"/>
          <w:lang w:val="en-US"/>
        </w:rPr>
        <w:t xml:space="preserve"> </w:t>
      </w:r>
      <w:r w:rsidRPr="0079234D">
        <w:rPr>
          <w:i/>
          <w:sz w:val="18"/>
          <w:szCs w:val="18"/>
          <w:lang w:val="en-GB"/>
        </w:rPr>
        <w:t>C.  Caldji et al., "Maternal care during infancy regulates the development of neural systems mediating the expression of fearfulness in the rat," Proc Natl Acad Sci (Canada) 95, no.  9 (Apr 1998): 5335–40.</w:t>
      </w:r>
    </w:p>
  </w:endnote>
  <w:endnote w:id="12">
    <w:p w14:paraId="118215EE" w14:textId="77777777" w:rsidR="000E4419" w:rsidRPr="0079234D" w:rsidRDefault="000E4419" w:rsidP="00296086">
      <w:pPr>
        <w:pStyle w:val="EndnoteText"/>
        <w:rPr>
          <w:i/>
          <w:sz w:val="18"/>
          <w:szCs w:val="18"/>
          <w:lang w:val="en-GB"/>
        </w:rPr>
      </w:pPr>
      <w:r w:rsidRPr="0079234D">
        <w:rPr>
          <w:i/>
          <w:sz w:val="18"/>
          <w:szCs w:val="18"/>
          <w:lang w:val="en-GB"/>
        </w:rPr>
        <w:endnoteRef/>
      </w:r>
      <w:r w:rsidRPr="005C51F0">
        <w:rPr>
          <w:i/>
          <w:sz w:val="18"/>
          <w:szCs w:val="18"/>
          <w:lang w:val="en-CA"/>
        </w:rPr>
        <w:t xml:space="preserve"> Kaufman, J.  Plotzky, P.  M., Nemeroff, C.  </w:t>
      </w:r>
      <w:r w:rsidRPr="0079234D">
        <w:rPr>
          <w:i/>
          <w:sz w:val="18"/>
          <w:szCs w:val="18"/>
          <w:lang w:val="en-GB"/>
        </w:rPr>
        <w:t>B., &amp; Charney, D.  S. (2000).  Effects of early adverse experiences on brain structure and function: Clinical implications.  Psychiatry, 48(8), 778–790.</w:t>
      </w:r>
    </w:p>
  </w:endnote>
  <w:endnote w:id="13">
    <w:p w14:paraId="468FFC04" w14:textId="77777777" w:rsidR="000E4419" w:rsidRPr="0079234D" w:rsidRDefault="000E4419" w:rsidP="00296086">
      <w:pPr>
        <w:autoSpaceDE w:val="0"/>
        <w:autoSpaceDN w:val="0"/>
        <w:adjustRightInd w:val="0"/>
        <w:rPr>
          <w:rFonts w:eastAsia="Times New Roman" w:cs="Times New Roman"/>
          <w:i/>
          <w:sz w:val="18"/>
          <w:szCs w:val="18"/>
          <w:lang w:val="en-GB" w:eastAsia="de-CH" w:bidi="he-IL"/>
        </w:rPr>
      </w:pPr>
      <w:r w:rsidRPr="0079234D">
        <w:rPr>
          <w:rStyle w:val="EndnoteReference"/>
          <w:sz w:val="18"/>
        </w:rPr>
        <w:endnoteRef/>
      </w:r>
      <w:r w:rsidRPr="0079234D">
        <w:rPr>
          <w:i/>
          <w:sz w:val="18"/>
          <w:lang w:val="en-US"/>
        </w:rPr>
        <w:t xml:space="preserve"> </w:t>
      </w:r>
      <w:r w:rsidRPr="0079234D">
        <w:rPr>
          <w:rFonts w:eastAsia="Times New Roman" w:cs="Times New Roman"/>
          <w:i/>
          <w:sz w:val="18"/>
          <w:szCs w:val="18"/>
          <w:lang w:val="en-GB" w:eastAsia="de-CH" w:bidi="he-IL"/>
        </w:rPr>
        <w:t xml:space="preserve">Fang X, Brown DS, Florence CS, Mercy JA (2012) The economic burden of child maltreatment in the United States and implications </w:t>
      </w:r>
      <w:r w:rsidRPr="0079234D">
        <w:rPr>
          <w:rFonts w:cs="Times New Roman"/>
          <w:i/>
          <w:sz w:val="18"/>
          <w:szCs w:val="18"/>
          <w:lang w:val="en-GB"/>
        </w:rPr>
        <w:t xml:space="preserve">for prevention. </w:t>
      </w:r>
      <w:proofErr w:type="gramStart"/>
      <w:r w:rsidRPr="0079234D">
        <w:rPr>
          <w:rFonts w:cs="Times New Roman"/>
          <w:i/>
          <w:sz w:val="18"/>
          <w:szCs w:val="18"/>
          <w:lang w:val="en-GB"/>
        </w:rPr>
        <w:t>Child Abuse &amp; Neglect 36: 156–165.</w:t>
      </w:r>
      <w:proofErr w:type="gramEnd"/>
    </w:p>
  </w:endnote>
  <w:endnote w:id="14">
    <w:p w14:paraId="1CC3F3E8" w14:textId="77777777" w:rsidR="000E4419" w:rsidRPr="0079234D" w:rsidRDefault="000E4419" w:rsidP="00296086">
      <w:pPr>
        <w:pStyle w:val="EndnoteText"/>
        <w:rPr>
          <w:rFonts w:eastAsiaTheme="minorHAnsi"/>
          <w:i/>
          <w:sz w:val="18"/>
          <w:szCs w:val="18"/>
          <w:lang w:val="en-GB"/>
        </w:rPr>
      </w:pPr>
      <w:r w:rsidRPr="0079234D">
        <w:rPr>
          <w:rFonts w:eastAsiaTheme="minorHAnsi"/>
          <w:i/>
          <w:sz w:val="18"/>
          <w:szCs w:val="18"/>
          <w:lang w:val="en-GB"/>
        </w:rPr>
        <w:endnoteRef/>
      </w:r>
      <w:r w:rsidRPr="0079234D">
        <w:rPr>
          <w:rFonts w:eastAsiaTheme="minorHAnsi"/>
          <w:i/>
          <w:sz w:val="18"/>
          <w:szCs w:val="18"/>
          <w:lang w:val="en-GB"/>
        </w:rPr>
        <w:t xml:space="preserve"> Shonkoff JP, Boyce WT, McEwan BS. Neuroscience, molecular biology and the childhood roots of health disparities: Building a new framework for health promotion and disease prevention. </w:t>
      </w:r>
      <w:proofErr w:type="gramStart"/>
      <w:r w:rsidRPr="0079234D">
        <w:rPr>
          <w:rFonts w:eastAsiaTheme="minorHAnsi"/>
          <w:i/>
          <w:sz w:val="18"/>
          <w:szCs w:val="18"/>
          <w:lang w:val="en-GB"/>
        </w:rPr>
        <w:t>Journal of the American Medical Association 2009; 301: 2252–9.</w:t>
      </w:r>
      <w:proofErr w:type="gramEnd"/>
    </w:p>
  </w:endnote>
  <w:endnote w:id="15">
    <w:p w14:paraId="2470C594" w14:textId="77777777" w:rsidR="000E4419" w:rsidRPr="0079234D" w:rsidRDefault="000E4419" w:rsidP="00296086">
      <w:pPr>
        <w:pStyle w:val="EndnoteText"/>
        <w:rPr>
          <w:i/>
          <w:sz w:val="18"/>
          <w:szCs w:val="18"/>
          <w:lang w:val="en-GB"/>
        </w:rPr>
      </w:pPr>
      <w:r w:rsidRPr="0079234D">
        <w:rPr>
          <w:rStyle w:val="EndnoteReference"/>
          <w:sz w:val="18"/>
          <w:szCs w:val="18"/>
        </w:rPr>
        <w:endnoteRef/>
      </w:r>
      <w:r w:rsidRPr="0079234D">
        <w:rPr>
          <w:i/>
          <w:sz w:val="18"/>
          <w:szCs w:val="18"/>
          <w:lang w:val="en-GB"/>
        </w:rPr>
        <w:t xml:space="preserve"> United Nations. </w:t>
      </w:r>
      <w:proofErr w:type="gramStart"/>
      <w:r w:rsidRPr="0079234D">
        <w:rPr>
          <w:i/>
          <w:sz w:val="18"/>
          <w:szCs w:val="18"/>
          <w:lang w:val="en-GB"/>
        </w:rPr>
        <w:t>World Report on Violence Against Children.</w:t>
      </w:r>
      <w:proofErr w:type="gramEnd"/>
      <w:r w:rsidRPr="0079234D">
        <w:rPr>
          <w:i/>
          <w:sz w:val="18"/>
          <w:szCs w:val="18"/>
          <w:lang w:val="en-GB"/>
        </w:rPr>
        <w:t xml:space="preserve"> </w:t>
      </w:r>
      <w:proofErr w:type="gramStart"/>
      <w:r w:rsidRPr="0079234D">
        <w:rPr>
          <w:i/>
          <w:sz w:val="18"/>
          <w:szCs w:val="18"/>
          <w:lang w:val="en-GB"/>
        </w:rPr>
        <w:t>2006: 12.</w:t>
      </w:r>
      <w:proofErr w:type="gramEnd"/>
    </w:p>
  </w:endnote>
  <w:endnote w:id="16">
    <w:p w14:paraId="15587E62" w14:textId="77777777" w:rsidR="000E4419" w:rsidRPr="0079234D" w:rsidRDefault="000E4419" w:rsidP="00296086">
      <w:pPr>
        <w:pStyle w:val="EndnoteText"/>
        <w:rPr>
          <w:i/>
          <w:sz w:val="18"/>
          <w:szCs w:val="18"/>
          <w:lang w:val="en-GB"/>
        </w:rPr>
      </w:pPr>
      <w:r w:rsidRPr="0079234D">
        <w:rPr>
          <w:rStyle w:val="EndnoteReference"/>
          <w:sz w:val="18"/>
          <w:szCs w:val="18"/>
        </w:rPr>
        <w:endnoteRef/>
      </w:r>
      <w:r w:rsidRPr="0079234D">
        <w:rPr>
          <w:i/>
          <w:sz w:val="18"/>
          <w:szCs w:val="18"/>
          <w:lang w:val="en-GB"/>
        </w:rPr>
        <w:t xml:space="preserve"> UNICEF Progress Report for Children, 2009: 7.</w:t>
      </w:r>
    </w:p>
  </w:endnote>
  <w:endnote w:id="17">
    <w:p w14:paraId="7EF5313E" w14:textId="77777777" w:rsidR="000E4419" w:rsidRPr="0079234D" w:rsidRDefault="000E4419" w:rsidP="00296086">
      <w:pPr>
        <w:pStyle w:val="EndnoteText"/>
        <w:rPr>
          <w:i/>
          <w:sz w:val="18"/>
          <w:szCs w:val="18"/>
          <w:lang w:val="en-GB"/>
        </w:rPr>
      </w:pPr>
      <w:r w:rsidRPr="0079234D">
        <w:rPr>
          <w:rStyle w:val="EndnoteReference"/>
          <w:sz w:val="18"/>
          <w:szCs w:val="18"/>
        </w:rPr>
        <w:endnoteRef/>
      </w:r>
      <w:r w:rsidRPr="0079234D">
        <w:rPr>
          <w:i/>
          <w:sz w:val="18"/>
          <w:szCs w:val="18"/>
          <w:lang w:val="en-GB"/>
        </w:rPr>
        <w:t xml:space="preserve"> United Nations. </w:t>
      </w:r>
      <w:proofErr w:type="gramStart"/>
      <w:r w:rsidRPr="0079234D">
        <w:rPr>
          <w:i/>
          <w:sz w:val="18"/>
          <w:szCs w:val="18"/>
          <w:lang w:val="en-GB"/>
        </w:rPr>
        <w:t>World Report on Violence Against Children.</w:t>
      </w:r>
      <w:proofErr w:type="gramEnd"/>
      <w:r w:rsidRPr="0079234D">
        <w:rPr>
          <w:i/>
          <w:sz w:val="18"/>
          <w:szCs w:val="18"/>
          <w:lang w:val="en-GB"/>
        </w:rPr>
        <w:t xml:space="preserve"> </w:t>
      </w:r>
      <w:proofErr w:type="gramStart"/>
      <w:r w:rsidRPr="0079234D">
        <w:rPr>
          <w:i/>
          <w:sz w:val="18"/>
          <w:szCs w:val="18"/>
          <w:lang w:val="en-GB"/>
        </w:rPr>
        <w:t>2006: 70.</w:t>
      </w:r>
      <w:proofErr w:type="gramEnd"/>
    </w:p>
  </w:endnote>
  <w:endnote w:id="18">
    <w:p w14:paraId="1F6F07D8" w14:textId="77777777" w:rsidR="000E4419" w:rsidRPr="0079234D" w:rsidRDefault="000E4419" w:rsidP="00296086">
      <w:pPr>
        <w:pStyle w:val="EndnoteText"/>
        <w:rPr>
          <w:i/>
          <w:sz w:val="18"/>
          <w:szCs w:val="18"/>
          <w:lang w:val="en-GB"/>
        </w:rPr>
      </w:pPr>
      <w:r w:rsidRPr="0079234D">
        <w:rPr>
          <w:rStyle w:val="EndnoteReference"/>
          <w:sz w:val="18"/>
          <w:szCs w:val="18"/>
        </w:rPr>
        <w:endnoteRef/>
      </w:r>
      <w:r w:rsidRPr="0079234D">
        <w:rPr>
          <w:i/>
          <w:sz w:val="18"/>
          <w:szCs w:val="18"/>
          <w:lang w:val="en-GB"/>
        </w:rPr>
        <w:t xml:space="preserve"> Child Disciplinary Practices at Home: Evidence from a Range of Low- and Middle-Income Countries. UNICEF 2010.</w:t>
      </w:r>
    </w:p>
  </w:endnote>
  <w:endnote w:id="19">
    <w:p w14:paraId="018CA7BD" w14:textId="77777777" w:rsidR="000E4419" w:rsidRPr="0079234D" w:rsidRDefault="000E4419" w:rsidP="00296086">
      <w:pPr>
        <w:rPr>
          <w:i/>
          <w:sz w:val="18"/>
          <w:lang w:val="en-US"/>
        </w:rPr>
      </w:pPr>
      <w:r w:rsidRPr="0079234D">
        <w:rPr>
          <w:rStyle w:val="EndnoteReference"/>
          <w:sz w:val="18"/>
        </w:rPr>
        <w:endnoteRef/>
      </w:r>
      <w:r w:rsidRPr="0079234D">
        <w:rPr>
          <w:i/>
          <w:sz w:val="18"/>
          <w:lang w:val="en-US"/>
        </w:rPr>
        <w:t xml:space="preserve"> </w:t>
      </w:r>
      <w:r w:rsidRPr="0079234D">
        <w:rPr>
          <w:rFonts w:cs="Times New Roman"/>
          <w:i/>
          <w:sz w:val="18"/>
          <w:szCs w:val="18"/>
          <w:lang w:val="en-GB"/>
        </w:rPr>
        <w:t>Widom, C. S., &amp; Maxfield, M. G. (2001). An Update on the" Cycle of Violence." Research in Brief.</w:t>
      </w:r>
    </w:p>
  </w:endnote>
  <w:endnote w:id="20">
    <w:p w14:paraId="0C0BAEF7" w14:textId="77777777" w:rsidR="000E4419" w:rsidRPr="0079234D" w:rsidRDefault="000E4419" w:rsidP="00296086">
      <w:pPr>
        <w:rPr>
          <w:rFonts w:cs="Times New Roman"/>
          <w:i/>
          <w:sz w:val="18"/>
          <w:szCs w:val="18"/>
          <w:lang w:val="en-GB"/>
        </w:rPr>
      </w:pPr>
      <w:r w:rsidRPr="0079234D">
        <w:rPr>
          <w:rStyle w:val="EndnoteReference"/>
          <w:sz w:val="18"/>
        </w:rPr>
        <w:endnoteRef/>
      </w:r>
      <w:r w:rsidRPr="0079234D">
        <w:rPr>
          <w:i/>
          <w:sz w:val="18"/>
          <w:lang w:val="en-US"/>
        </w:rPr>
        <w:t xml:space="preserve"> </w:t>
      </w:r>
      <w:r w:rsidRPr="0079234D">
        <w:rPr>
          <w:rFonts w:cs="Times New Roman"/>
          <w:i/>
          <w:sz w:val="18"/>
          <w:szCs w:val="18"/>
          <w:lang w:val="en-GB"/>
        </w:rPr>
        <w:t>Unicef. (2006). Behind closed doors: The impact of domestic violence on children. In Behind closed doors: the impact of domestic violence on children. UNICEF.</w:t>
      </w:r>
    </w:p>
  </w:endnote>
  <w:endnote w:id="21">
    <w:p w14:paraId="37440124" w14:textId="77777777" w:rsidR="000E4419" w:rsidRPr="0079234D" w:rsidRDefault="000E4419" w:rsidP="00296086">
      <w:pPr>
        <w:pStyle w:val="EndnoteText"/>
        <w:rPr>
          <w:i/>
          <w:sz w:val="18"/>
          <w:lang w:val="en-CA"/>
        </w:rPr>
      </w:pPr>
      <w:r w:rsidRPr="0079234D">
        <w:rPr>
          <w:rStyle w:val="EndnoteReference"/>
          <w:sz w:val="18"/>
        </w:rPr>
        <w:endnoteRef/>
      </w:r>
      <w:r w:rsidRPr="0079234D">
        <w:rPr>
          <w:i/>
          <w:sz w:val="18"/>
          <w:lang w:val="en-CA"/>
        </w:rPr>
        <w:t xml:space="preserve"> </w:t>
      </w:r>
      <w:hyperlink r:id="rId2" w:history="1">
        <w:r w:rsidRPr="0079234D">
          <w:rPr>
            <w:i/>
            <w:sz w:val="18"/>
            <w:lang w:val="en-US"/>
          </w:rPr>
          <w:t>http://www.girlsnotbrides.org/</w:t>
        </w:r>
      </w:hyperlink>
    </w:p>
  </w:endnote>
  <w:endnote w:id="22">
    <w:p w14:paraId="46EC8507" w14:textId="77777777" w:rsidR="000E4419" w:rsidRPr="0079234D" w:rsidRDefault="000E4419" w:rsidP="00296086">
      <w:pPr>
        <w:pStyle w:val="EndnoteText"/>
        <w:rPr>
          <w:i/>
          <w:sz w:val="18"/>
          <w:lang w:val="en-CA"/>
        </w:rPr>
      </w:pPr>
      <w:r w:rsidRPr="00666FDF">
        <w:rPr>
          <w:rStyle w:val="EndnoteReference"/>
          <w:sz w:val="18"/>
        </w:rPr>
        <w:endnoteRef/>
      </w:r>
      <w:r w:rsidRPr="0079234D">
        <w:rPr>
          <w:i/>
          <w:sz w:val="18"/>
          <w:lang w:val="en-CA"/>
        </w:rPr>
        <w:t xml:space="preserve"> </w:t>
      </w:r>
      <w:hyperlink r:id="rId3" w:history="1">
        <w:r w:rsidRPr="00666FDF">
          <w:rPr>
            <w:rStyle w:val="Hyperlink"/>
            <w:i/>
            <w:sz w:val="18"/>
            <w:lang w:val="en-US"/>
          </w:rPr>
          <w:t>www.togetherforgirls.org</w:t>
        </w:r>
      </w:hyperlink>
    </w:p>
  </w:endnote>
  <w:endnote w:id="23">
    <w:p w14:paraId="7AB82F83" w14:textId="77777777" w:rsidR="000E4419" w:rsidRPr="0079234D" w:rsidRDefault="000E4419" w:rsidP="00296086">
      <w:pPr>
        <w:pStyle w:val="EndnoteText"/>
        <w:rPr>
          <w:i/>
          <w:sz w:val="18"/>
          <w:lang w:val="en-CA"/>
        </w:rPr>
      </w:pPr>
      <w:r w:rsidRPr="00666FDF">
        <w:rPr>
          <w:rStyle w:val="EndnoteReference"/>
          <w:sz w:val="18"/>
        </w:rPr>
        <w:endnoteRef/>
      </w:r>
      <w:r w:rsidRPr="0079234D">
        <w:rPr>
          <w:i/>
          <w:sz w:val="18"/>
          <w:lang w:val="en-CA"/>
        </w:rPr>
        <w:t xml:space="preserve"> www.optimusstudy.org</w:t>
      </w:r>
    </w:p>
  </w:endnote>
  <w:endnote w:id="24">
    <w:p w14:paraId="0703A9DB" w14:textId="77777777" w:rsidR="000E4419" w:rsidRPr="0079234D" w:rsidRDefault="000E4419" w:rsidP="00296086">
      <w:pPr>
        <w:pStyle w:val="EndnoteText"/>
        <w:rPr>
          <w:i/>
          <w:sz w:val="18"/>
          <w:lang w:val="en-CA"/>
        </w:rPr>
      </w:pPr>
      <w:r w:rsidRPr="00666FDF">
        <w:rPr>
          <w:rStyle w:val="EndnoteReference"/>
          <w:sz w:val="18"/>
        </w:rPr>
        <w:endnoteRef/>
      </w:r>
      <w:r w:rsidRPr="0079234D">
        <w:rPr>
          <w:i/>
          <w:sz w:val="18"/>
          <w:lang w:val="en-CA"/>
        </w:rPr>
        <w:t xml:space="preserve"> </w:t>
      </w:r>
      <w:r w:rsidRPr="00666FDF">
        <w:rPr>
          <w:i/>
          <w:sz w:val="18"/>
          <w:lang w:val="en-US"/>
        </w:rPr>
        <w:t>www.withoutviolence.org</w:t>
      </w:r>
    </w:p>
  </w:endnote>
  <w:endnote w:id="25">
    <w:p w14:paraId="3297F460" w14:textId="77777777" w:rsidR="000E4419" w:rsidRPr="0079234D" w:rsidRDefault="000E4419" w:rsidP="00296086">
      <w:pPr>
        <w:pStyle w:val="EndnoteText"/>
        <w:rPr>
          <w:i/>
          <w:sz w:val="18"/>
          <w:lang w:val="en-CA"/>
        </w:rPr>
      </w:pPr>
      <w:r w:rsidRPr="00666FDF">
        <w:rPr>
          <w:rStyle w:val="EndnoteReference"/>
          <w:sz w:val="18"/>
        </w:rPr>
        <w:endnoteRef/>
      </w:r>
      <w:r w:rsidRPr="0079234D">
        <w:rPr>
          <w:i/>
          <w:sz w:val="18"/>
          <w:lang w:val="en-CA"/>
        </w:rPr>
        <w:t xml:space="preserve"> </w:t>
      </w:r>
      <w:hyperlink r:id="rId4" w:history="1">
        <w:r w:rsidRPr="00666FDF">
          <w:rPr>
            <w:rStyle w:val="Hyperlink"/>
            <w:i/>
            <w:sz w:val="18"/>
            <w:lang w:val="en-US"/>
          </w:rPr>
          <w:t>www.evaluationchallenge.org</w:t>
        </w:r>
      </w:hyperlink>
      <w:r w:rsidRPr="00666FDF">
        <w:rPr>
          <w:rStyle w:val="Hyperlink"/>
          <w:i/>
          <w:sz w:val="18"/>
          <w:lang w:val="en-US"/>
        </w:rPr>
        <w:t>/</w:t>
      </w:r>
    </w:p>
  </w:endnote>
  <w:endnote w:id="26">
    <w:p w14:paraId="0A86DB19" w14:textId="77777777" w:rsidR="000E4419" w:rsidRPr="00666FDF" w:rsidRDefault="000E4419" w:rsidP="00296086">
      <w:pPr>
        <w:autoSpaceDE w:val="0"/>
        <w:autoSpaceDN w:val="0"/>
        <w:adjustRightInd w:val="0"/>
        <w:rPr>
          <w:rFonts w:cs="FrutigerLTCom-Light"/>
          <w:i/>
          <w:sz w:val="18"/>
          <w:szCs w:val="17"/>
          <w:lang w:val="en-US"/>
        </w:rPr>
      </w:pPr>
      <w:r w:rsidRPr="00666FDF">
        <w:rPr>
          <w:rStyle w:val="EndnoteReference"/>
          <w:sz w:val="18"/>
        </w:rPr>
        <w:endnoteRef/>
      </w:r>
      <w:r w:rsidRPr="00666FDF">
        <w:rPr>
          <w:i/>
          <w:sz w:val="18"/>
          <w:lang w:val="en-US"/>
        </w:rPr>
        <w:t xml:space="preserve"> </w:t>
      </w:r>
      <w:r w:rsidRPr="00666FDF">
        <w:rPr>
          <w:rFonts w:cs="FrutigerLTCom-Light"/>
          <w:i/>
          <w:sz w:val="18"/>
          <w:szCs w:val="17"/>
          <w:lang w:val="en-US"/>
        </w:rPr>
        <w:t>World Health Organization, World report on violence and health. (2002)</w:t>
      </w:r>
    </w:p>
  </w:endnote>
  <w:endnote w:id="27">
    <w:p w14:paraId="729007D9" w14:textId="77777777" w:rsidR="000E4419" w:rsidRDefault="000E4419" w:rsidP="00296086">
      <w:pPr>
        <w:rPr>
          <w:lang w:val="en-US"/>
        </w:rPr>
      </w:pPr>
      <w:r w:rsidRPr="00666FDF">
        <w:rPr>
          <w:rStyle w:val="EndnoteReference"/>
          <w:sz w:val="18"/>
        </w:rPr>
        <w:endnoteRef/>
      </w:r>
      <w:r w:rsidRPr="005C51F0">
        <w:rPr>
          <w:i/>
          <w:sz w:val="18"/>
          <w:lang w:val="en-CA"/>
        </w:rPr>
        <w:t xml:space="preserve"> </w:t>
      </w:r>
      <w:r w:rsidRPr="005C51F0">
        <w:rPr>
          <w:rFonts w:cs="FrutigerLTCom-Light"/>
          <w:i/>
          <w:sz w:val="18"/>
          <w:szCs w:val="17"/>
          <w:lang w:val="en-CA"/>
        </w:rPr>
        <w:t xml:space="preserve">Petrosino, A., Turpin-Petrosino, C., &amp; Buehler, J. (2002). </w:t>
      </w:r>
      <w:proofErr w:type="gramStart"/>
      <w:r w:rsidRPr="005C51F0">
        <w:rPr>
          <w:rFonts w:cs="FrutigerLTCom-Light"/>
          <w:i/>
          <w:sz w:val="18"/>
          <w:szCs w:val="17"/>
          <w:lang w:val="en-CA"/>
        </w:rPr>
        <w:t xml:space="preserve">» </w:t>
      </w:r>
      <w:r w:rsidRPr="00666FDF">
        <w:rPr>
          <w:rFonts w:cs="FrutigerLTCom-Light"/>
          <w:i/>
          <w:sz w:val="18"/>
          <w:szCs w:val="17"/>
          <w:lang w:val="en-US"/>
        </w:rPr>
        <w:t>Scared Straight «and other juvenile awareness programs for preventing juvenile delinquency.</w:t>
      </w:r>
      <w:proofErr w:type="gramEnd"/>
      <w:r w:rsidRPr="00666FDF">
        <w:rPr>
          <w:rFonts w:cs="FrutigerLTCom-Light"/>
          <w:i/>
          <w:sz w:val="18"/>
          <w:szCs w:val="17"/>
          <w:lang w:val="en-US"/>
        </w:rPr>
        <w:t xml:space="preserve"> Cochrane Database of Systematic Reviews, 2.</w:t>
      </w:r>
    </w:p>
  </w:endnote>
  <w:endnote w:id="28">
    <w:p w14:paraId="1A8A11C3" w14:textId="77777777" w:rsidR="000E4419" w:rsidRPr="0079234D" w:rsidRDefault="000E4419" w:rsidP="00296086">
      <w:pPr>
        <w:pStyle w:val="EndnoteText"/>
        <w:rPr>
          <w:i/>
          <w:sz w:val="18"/>
          <w:lang w:val="en-CA"/>
        </w:rPr>
      </w:pPr>
      <w:r w:rsidRPr="00666FDF">
        <w:rPr>
          <w:rStyle w:val="EndnoteReference"/>
          <w:sz w:val="18"/>
        </w:rPr>
        <w:endnoteRef/>
      </w:r>
      <w:r w:rsidRPr="0079234D">
        <w:rPr>
          <w:i/>
          <w:sz w:val="18"/>
          <w:lang w:val="en-CA"/>
        </w:rPr>
        <w:t xml:space="preserve"> </w:t>
      </w:r>
      <w:hyperlink r:id="rId5" w:history="1">
        <w:r w:rsidRPr="00666FDF">
          <w:rPr>
            <w:rStyle w:val="Hyperlink"/>
            <w:i/>
            <w:sz w:val="18"/>
            <w:lang w:val="en-US"/>
          </w:rPr>
          <w:t>www.svri.org</w:t>
        </w:r>
      </w:hyperlink>
    </w:p>
  </w:endnote>
  <w:endnote w:id="29">
    <w:p w14:paraId="3DD8181E" w14:textId="77777777" w:rsidR="000E4419" w:rsidRPr="0079234D" w:rsidRDefault="000E4419" w:rsidP="00296086">
      <w:pPr>
        <w:pStyle w:val="EndnoteText"/>
        <w:rPr>
          <w:lang w:val="en-CA"/>
        </w:rPr>
      </w:pPr>
      <w:r w:rsidRPr="00666FDF">
        <w:rPr>
          <w:rStyle w:val="EndnoteReference"/>
          <w:sz w:val="18"/>
        </w:rPr>
        <w:endnoteRef/>
      </w:r>
      <w:r w:rsidRPr="0079234D">
        <w:rPr>
          <w:i/>
          <w:sz w:val="18"/>
          <w:lang w:val="en-CA"/>
        </w:rPr>
        <w:t xml:space="preserve"> </w:t>
      </w:r>
      <w:r w:rsidRPr="00666FDF">
        <w:rPr>
          <w:i/>
          <w:sz w:val="18"/>
          <w:lang w:val="en-US"/>
        </w:rPr>
        <w:t>www.globalallianceforchildren.org</w:t>
      </w:r>
    </w:p>
  </w:endnote>
  <w:endnote w:id="30">
    <w:p w14:paraId="26220C2B" w14:textId="77777777" w:rsidR="000E4419" w:rsidRPr="005C51F0" w:rsidRDefault="000E4419" w:rsidP="00296086">
      <w:pPr>
        <w:pStyle w:val="EndnoteText"/>
        <w:rPr>
          <w:lang w:val="en-CA"/>
        </w:rPr>
      </w:pPr>
      <w:r>
        <w:rPr>
          <w:rStyle w:val="EndnoteReference"/>
        </w:rPr>
        <w:endnoteRef/>
      </w:r>
      <w:r w:rsidRPr="005C51F0">
        <w:rPr>
          <w:lang w:val="en-CA"/>
        </w:rPr>
        <w:t xml:space="preserve"> </w:t>
      </w:r>
      <w:r>
        <w:rPr>
          <w:lang w:val="en-US"/>
        </w:rPr>
        <w:t>http://www.vrc.crim.cam.ac.uk</w:t>
      </w:r>
    </w:p>
  </w:endnote>
  <w:endnote w:id="31">
    <w:p w14:paraId="03399C3A" w14:textId="77777777" w:rsidR="000E4419" w:rsidRPr="00666FDF" w:rsidRDefault="000E4419" w:rsidP="00296086">
      <w:pPr>
        <w:rPr>
          <w:lang w:val="en-US"/>
        </w:rPr>
      </w:pPr>
      <w:r w:rsidRPr="00666FDF">
        <w:rPr>
          <w:rStyle w:val="EndnoteReference"/>
          <w:sz w:val="18"/>
        </w:rPr>
        <w:endnoteRef/>
      </w:r>
      <w:r w:rsidRPr="00666FDF">
        <w:rPr>
          <w:i/>
          <w:sz w:val="18"/>
          <w:lang w:val="en-US"/>
        </w:rPr>
        <w:t xml:space="preserve"> </w:t>
      </w:r>
      <w:hyperlink r:id="rId6" w:history="1">
        <w:r w:rsidRPr="00666FDF">
          <w:rPr>
            <w:rStyle w:val="Hyperlink"/>
            <w:rFonts w:eastAsia="Times New Roman"/>
            <w:i/>
            <w:sz w:val="18"/>
            <w:lang w:val="en-US"/>
          </w:rPr>
          <w:t>https://www.dropbox.com/s/hz2wia9b3a94q13/WithoutViolenceMarch2014Taxonomy.pdf</w:t>
        </w:r>
      </w:hyperlink>
    </w:p>
  </w:endnote>
  <w:endnote w:id="32">
    <w:p w14:paraId="60420354" w14:textId="77777777" w:rsidR="000E4419" w:rsidRDefault="000E4419" w:rsidP="00EE0F6C">
      <w:pPr>
        <w:pStyle w:val="EndnoteText"/>
      </w:pPr>
      <w:r>
        <w:rPr>
          <w:rStyle w:val="EndnoteReference"/>
        </w:rPr>
        <w:endnoteRef/>
      </w:r>
      <w:r>
        <w:t xml:space="preserve"> National Crime Records Bureau. Crime in India 2013. </w:t>
      </w:r>
      <w:hyperlink r:id="rId7" w:history="1">
        <w:r w:rsidRPr="00AD07D6">
          <w:rPr>
            <w:rStyle w:val="Hyperlink"/>
          </w:rPr>
          <w:t>http://ncrb.nic.in/</w:t>
        </w:r>
      </w:hyperlink>
      <w:r>
        <w:t xml:space="preserve"> Accessed 16 August, 2014.</w:t>
      </w:r>
    </w:p>
  </w:endnote>
  <w:endnote w:id="33">
    <w:p w14:paraId="5F8696DD" w14:textId="77777777" w:rsidR="000E4419" w:rsidRDefault="000E4419" w:rsidP="00EE0F6C">
      <w:pPr>
        <w:pStyle w:val="EndnoteText"/>
      </w:pPr>
      <w:r>
        <w:rPr>
          <w:rStyle w:val="EndnoteReference"/>
        </w:rPr>
        <w:endnoteRef/>
      </w:r>
      <w:r>
        <w:t xml:space="preserve"> Palermo, T., Bleck, J., and A. Peterman. Tip of the Iceberg: Reporting and Gender-based Violence in Developing Countries. AJE (2014) 179 (5): 602-612.</w:t>
      </w:r>
    </w:p>
  </w:endnote>
  <w:endnote w:id="34">
    <w:p w14:paraId="495684F6" w14:textId="77777777" w:rsidR="000E4419" w:rsidRDefault="000E4419" w:rsidP="00EE0F6C">
      <w:pPr>
        <w:pStyle w:val="EndnoteText"/>
      </w:pPr>
      <w:r>
        <w:rPr>
          <w:rStyle w:val="EndnoteReference"/>
        </w:rPr>
        <w:endnoteRef/>
      </w:r>
      <w:r>
        <w:t xml:space="preserve"> </w:t>
      </w:r>
      <w:r w:rsidRPr="004B4E5F">
        <w:t xml:space="preserve">Krishnan, S., Rocca, C. H., Hubbard, A., Subbiah, K., Edmeades, J., &amp; Padian, N. S. (2010). Do changes in spousal employment status lead to domestic violence? Insights from a prospective study in Bangalore, India. </w:t>
      </w:r>
      <w:r w:rsidRPr="004B4E5F">
        <w:rPr>
          <w:i/>
          <w:iCs/>
        </w:rPr>
        <w:t>Social Science &amp; Medicine</w:t>
      </w:r>
      <w:r w:rsidRPr="004B4E5F">
        <w:t xml:space="preserve">, </w:t>
      </w:r>
      <w:r w:rsidRPr="004B4E5F">
        <w:rPr>
          <w:i/>
          <w:iCs/>
        </w:rPr>
        <w:t>70</w:t>
      </w:r>
      <w:r w:rsidRPr="004B4E5F">
        <w:rPr>
          <w:i/>
        </w:rPr>
        <w:t>,</w:t>
      </w:r>
      <w:r w:rsidRPr="004B4E5F">
        <w:t xml:space="preserve"> 136–143. </w:t>
      </w:r>
    </w:p>
  </w:endnote>
  <w:endnote w:id="35">
    <w:p w14:paraId="1737A1B1" w14:textId="77777777" w:rsidR="000E4419" w:rsidRDefault="000E4419" w:rsidP="00EE0F6C">
      <w:pPr>
        <w:pStyle w:val="EndnoteText"/>
      </w:pPr>
      <w:r>
        <w:rPr>
          <w:rStyle w:val="EndnoteReference"/>
        </w:rPr>
        <w:endnoteRef/>
      </w:r>
      <w:r>
        <w:t xml:space="preserve"> India PM urges an end to violence against women. 15 August 2014. </w:t>
      </w:r>
      <w:r w:rsidRPr="00C73CA4">
        <w:t>http://abcnews.go.com/international/wirestory/indian-pm-urges-end-violence-women-24992062</w:t>
      </w:r>
    </w:p>
  </w:endnote>
  <w:endnote w:id="36">
    <w:p w14:paraId="4C42D25A" w14:textId="77777777" w:rsidR="000E4419" w:rsidRDefault="000E4419" w:rsidP="00EE0F6C">
      <w:pPr>
        <w:pStyle w:val="EndnoteText"/>
      </w:pPr>
      <w:r>
        <w:rPr>
          <w:rStyle w:val="EndnoteReference"/>
        </w:rPr>
        <w:endnoteRef/>
      </w:r>
      <w:r>
        <w:t xml:space="preserve"> </w:t>
      </w:r>
      <w:r w:rsidRPr="002E53C4">
        <w:t>Poonacha, V. and D. Pandey (1999). Responses to Domestic Violence in India: A study in Karnataka and Gujarat. Report-in-brief for PROWID Mumbai, India, Research Center for Women's Studies, SNDT Women's University</w:t>
      </w:r>
      <w:r>
        <w:t xml:space="preserve"> and </w:t>
      </w:r>
      <w:r w:rsidRPr="002E53C4">
        <w:t>Rao, V. (1997). "Wife-beating in rural south India: a qualitative and econometric analysis." Soc Sci Med 44(8): 1169-1180.</w:t>
      </w:r>
    </w:p>
  </w:endnote>
  <w:endnote w:id="37">
    <w:p w14:paraId="3A8C9260" w14:textId="77777777" w:rsidR="000E4419" w:rsidRDefault="000E4419" w:rsidP="00EE0F6C">
      <w:pPr>
        <w:pStyle w:val="EndnoteText"/>
      </w:pPr>
      <w:r>
        <w:rPr>
          <w:rStyle w:val="EndnoteReference"/>
        </w:rPr>
        <w:endnoteRef/>
      </w:r>
      <w:r>
        <w:t xml:space="preserve"> </w:t>
      </w:r>
      <w:r w:rsidRPr="002E53C4">
        <w:t>Panchanadeswaran, S. and C. Koverola (2005). "The voices of battered women in India." Violence Against Women 11(6): 736-758.</w:t>
      </w:r>
    </w:p>
  </w:endnote>
  <w:endnote w:id="38">
    <w:p w14:paraId="3DD831E2" w14:textId="77777777" w:rsidR="000E4419" w:rsidRDefault="000E4419" w:rsidP="00EE0F6C">
      <w:pPr>
        <w:pStyle w:val="EndnoteText"/>
      </w:pPr>
      <w:r>
        <w:rPr>
          <w:rStyle w:val="EndnoteReference"/>
        </w:rPr>
        <w:endnoteRef/>
      </w:r>
      <w:r>
        <w:t xml:space="preserve"> WHO. </w:t>
      </w:r>
      <w:hyperlink r:id="rId8" w:history="1">
        <w:r w:rsidRPr="00AD07D6">
          <w:rPr>
            <w:rStyle w:val="Hyperlink"/>
          </w:rPr>
          <w:t>http://www.who.int/reproductivehealth/topics/violence/resolution/en/</w:t>
        </w:r>
      </w:hyperlink>
      <w:r>
        <w:t xml:space="preserve"> Accessed on 16 August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rutigerLTCom-Light">
    <w:altName w:val="Cambria"/>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36B9" w14:textId="77777777" w:rsidR="000E4419" w:rsidRDefault="000E4419" w:rsidP="00160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02BC0" w14:textId="77777777" w:rsidR="000E4419" w:rsidRDefault="000E4419" w:rsidP="00160E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07126"/>
      <w:docPartObj>
        <w:docPartGallery w:val="Page Numbers (Bottom of Page)"/>
        <w:docPartUnique/>
      </w:docPartObj>
    </w:sdtPr>
    <w:sdtEndPr>
      <w:rPr>
        <w:rFonts w:ascii="Didot" w:hAnsi="Didot" w:cs="Didot"/>
        <w:sz w:val="22"/>
        <w:szCs w:val="22"/>
      </w:rPr>
    </w:sdtEndPr>
    <w:sdtContent>
      <w:p w14:paraId="1F457FD2" w14:textId="3561B27C" w:rsidR="000E4419" w:rsidRPr="00C269DB" w:rsidRDefault="000E4419" w:rsidP="00C269DB">
        <w:pPr>
          <w:pStyle w:val="Footer"/>
          <w:ind w:right="360"/>
          <w:rPr>
            <w:rFonts w:ascii="Didot" w:hAnsi="Didot" w:cs="Didot"/>
            <w:sz w:val="22"/>
            <w:szCs w:val="22"/>
          </w:rPr>
        </w:pPr>
        <w:r w:rsidRPr="00C269DB">
          <w:rPr>
            <w:rFonts w:ascii="Didot" w:hAnsi="Didot" w:cs="Didot"/>
            <w:i/>
            <w:sz w:val="22"/>
            <w:szCs w:val="22"/>
          </w:rPr>
          <w:t>WHO and Universit</w:t>
        </w:r>
        <w:r w:rsidR="00A54CC7">
          <w:rPr>
            <w:rFonts w:ascii="Didot" w:hAnsi="Didot" w:cs="Didot"/>
            <w:i/>
            <w:sz w:val="22"/>
            <w:szCs w:val="22"/>
          </w:rPr>
          <w:t xml:space="preserve">y of Cambridge Global Violence </w:t>
        </w:r>
        <w:r w:rsidRPr="00C269DB">
          <w:rPr>
            <w:rFonts w:ascii="Didot" w:hAnsi="Didot" w:cs="Didot"/>
            <w:i/>
            <w:sz w:val="22"/>
            <w:szCs w:val="22"/>
          </w:rPr>
          <w:t xml:space="preserve">Reduction Conference 2014 </w:t>
        </w:r>
      </w:p>
    </w:sdtContent>
  </w:sdt>
  <w:p w14:paraId="484552A9" w14:textId="77777777" w:rsidR="000E4419" w:rsidRDefault="000E44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744C" w14:textId="77777777" w:rsidR="000E4419" w:rsidRDefault="000E4419" w:rsidP="00B552DA">
      <w:r>
        <w:separator/>
      </w:r>
    </w:p>
  </w:footnote>
  <w:footnote w:type="continuationSeparator" w:id="0">
    <w:p w14:paraId="64BF2D6C" w14:textId="77777777" w:rsidR="000E4419" w:rsidRDefault="000E4419" w:rsidP="00B552DA">
      <w:r>
        <w:continuationSeparator/>
      </w:r>
    </w:p>
  </w:footnote>
  <w:footnote w:id="1">
    <w:p w14:paraId="1ABB9209" w14:textId="77777777" w:rsidR="000E4419" w:rsidRPr="00EF5D8F" w:rsidRDefault="000E4419" w:rsidP="0047351E">
      <w:pPr>
        <w:pStyle w:val="FootnoteText"/>
        <w:rPr>
          <w:sz w:val="18"/>
          <w:szCs w:val="18"/>
        </w:rPr>
      </w:pPr>
      <w:r w:rsidRPr="00A95DE4">
        <w:rPr>
          <w:rStyle w:val="FootnoteReference"/>
          <w:szCs w:val="18"/>
        </w:rPr>
        <w:footnoteRef/>
      </w:r>
      <w:r w:rsidRPr="00A95DE4">
        <w:rPr>
          <w:sz w:val="18"/>
          <w:szCs w:val="18"/>
        </w:rPr>
        <w:t xml:space="preserve"> OHCHR, “</w:t>
      </w:r>
      <w:r>
        <w:rPr>
          <w:sz w:val="18"/>
          <w:szCs w:val="18"/>
          <w:lang w:val="es-ES"/>
        </w:rPr>
        <w:t>Claiming</w:t>
      </w:r>
      <w:r w:rsidRPr="00A95DE4">
        <w:rPr>
          <w:sz w:val="18"/>
          <w:szCs w:val="18"/>
          <w:lang w:val="es-ES"/>
        </w:rPr>
        <w:t xml:space="preserve"> the Millennium Development Goals</w:t>
      </w:r>
      <w:r>
        <w:rPr>
          <w:sz w:val="18"/>
          <w:szCs w:val="18"/>
          <w:lang w:val="es-ES"/>
        </w:rPr>
        <w:t>…</w:t>
      </w:r>
      <w:proofErr w:type="gramStart"/>
      <w:r w:rsidRPr="00A95DE4">
        <w:rPr>
          <w:sz w:val="18"/>
          <w:szCs w:val="18"/>
          <w:lang w:val="es-ES"/>
        </w:rPr>
        <w:t>”,</w:t>
      </w:r>
      <w:proofErr w:type="gramEnd"/>
      <w:r w:rsidRPr="00A95DE4">
        <w:rPr>
          <w:sz w:val="18"/>
          <w:szCs w:val="18"/>
          <w:lang w:val="es-ES"/>
        </w:rPr>
        <w:t xml:space="preserve"> p. 11.</w:t>
      </w:r>
    </w:p>
  </w:footnote>
  <w:footnote w:id="2">
    <w:p w14:paraId="7EDEF061" w14:textId="77777777" w:rsidR="000E4419" w:rsidRDefault="000E4419" w:rsidP="00C33C84">
      <w:pPr>
        <w:pStyle w:val="FootnoteText"/>
      </w:pPr>
      <w:r>
        <w:rPr>
          <w:rStyle w:val="FootnoteReference"/>
        </w:rPr>
        <w:footnoteRef/>
      </w:r>
      <w:r>
        <w:t xml:space="preserve"> </w:t>
      </w:r>
      <w:proofErr w:type="gramStart"/>
      <w:r>
        <w:t>Unpublished research at the Crisis States Research Centre.</w:t>
      </w:r>
      <w:proofErr w:type="gramEnd"/>
      <w:r>
        <w:t xml:space="preserve"> The empirical evidence for this claim remains disputed. For one account see, </w:t>
      </w:r>
      <w:r w:rsidRPr="008D2821">
        <w:t xml:space="preserve">Regan, Patrick M. (2002) “Third-Party Interventions and the Duration of Intrastate Conflicts,” </w:t>
      </w:r>
      <w:r w:rsidRPr="008D2821">
        <w:rPr>
          <w:i/>
        </w:rPr>
        <w:t>The Journal of Conflict Resolution</w:t>
      </w:r>
      <w:r w:rsidRPr="008D2821">
        <w:t>, Vol. 46, No. 1, Understanding Civil War (Feb.), pp. 55-73</w:t>
      </w:r>
      <w:r>
        <w:t>.</w:t>
      </w:r>
    </w:p>
  </w:footnote>
  <w:footnote w:id="3">
    <w:p w14:paraId="49B8B29F" w14:textId="77777777" w:rsidR="000E4419" w:rsidRDefault="000E4419" w:rsidP="00C33C84">
      <w:pPr>
        <w:pStyle w:val="FootnoteText"/>
      </w:pPr>
      <w:r>
        <w:rPr>
          <w:rStyle w:val="FootnoteReference"/>
        </w:rPr>
        <w:footnoteRef/>
      </w:r>
      <w:r>
        <w:t xml:space="preserve"> See the </w:t>
      </w:r>
      <w:proofErr w:type="gramStart"/>
      <w:r>
        <w:t>report  by</w:t>
      </w:r>
      <w:proofErr w:type="gramEnd"/>
      <w:r>
        <w:t xml:space="preserve"> Borzu Daraghi on the chaotic rule of militias in Libya, “Armed Struggle”, </w:t>
      </w:r>
      <w:r>
        <w:rPr>
          <w:i/>
        </w:rPr>
        <w:t xml:space="preserve">Financial </w:t>
      </w:r>
      <w:r w:rsidRPr="0086186C">
        <w:rPr>
          <w:i/>
        </w:rPr>
        <w:t>Times</w:t>
      </w:r>
      <w:r>
        <w:t xml:space="preserve"> (28 July 2014) and the report by Simeon Kerr on militia conflict in Iraq, “Bodies in the street bear witness to tit-for-tat violence in ‘Baghdad Belt’”, </w:t>
      </w:r>
      <w:r>
        <w:rPr>
          <w:i/>
        </w:rPr>
        <w:t xml:space="preserve">Financial Times </w:t>
      </w:r>
      <w:r>
        <w:t xml:space="preserve">(4 August 2014). The massive increase in insecurity after intervention was documented in Brookings Institute, “Iraq Index: Tracking Variables of Reconstruction &amp; Security in Post-Saddam Iraq”, Updated September 8, 2005 and accessed 9 September 2005. </w:t>
      </w:r>
      <w:hyperlink r:id="rId1" w:history="1">
        <w:r>
          <w:rPr>
            <w:rStyle w:val="Hyperlink"/>
          </w:rPr>
          <w:t>www.brookings.edu/iraqindex</w:t>
        </w:r>
      </w:hyperlink>
    </w:p>
  </w:footnote>
  <w:footnote w:id="4">
    <w:p w14:paraId="4DA9617E" w14:textId="77777777" w:rsidR="000E4419" w:rsidRDefault="000E4419" w:rsidP="00C33C84">
      <w:pPr>
        <w:pStyle w:val="FootnoteText"/>
      </w:pPr>
      <w:r>
        <w:rPr>
          <w:rStyle w:val="FootnoteReference"/>
        </w:rPr>
        <w:footnoteRef/>
      </w:r>
      <w:r>
        <w:t xml:space="preserve"> UNICEF (2010) </w:t>
      </w:r>
      <w:r w:rsidRPr="00250FD7">
        <w:t>“The Situation of Children and Women in Libya”, UNICEF</w:t>
      </w:r>
      <w:r>
        <w:t xml:space="preserve"> </w:t>
      </w:r>
      <w:r w:rsidRPr="00250FD7">
        <w:t>Middle East and North Africa Regional Office, November</w:t>
      </w:r>
      <w:r>
        <w:t xml:space="preserve"> 2010 cited in ICG (2011) “Popular Protest in North Africa and the Middle East</w:t>
      </w:r>
      <w:r w:rsidRPr="00250FD7">
        <w:t xml:space="preserve"> (V): M</w:t>
      </w:r>
      <w:r>
        <w:t xml:space="preserve">aking Sense of Libya”, </w:t>
      </w:r>
      <w:r w:rsidRPr="00250FD7">
        <w:t>Middle East/North A</w:t>
      </w:r>
      <w:r>
        <w:t xml:space="preserve">frica Report N°107 – 6 June. </w:t>
      </w:r>
      <w:r w:rsidRPr="00561721">
        <w:t>By 1990 Iraq was ranked 50th out of 130 countries in the UNDP’s “Human Development Index”. After sanctions by 1995 it stood at 106 of 174 countries (Medecat, “Continuing Collateral Damage: the health and environmental costs of war on Iraq” 2003, p.1) and with the invasion its position in the HDI fell consistently to 131 out of 174 in 2012 (UNDP, Human Development Report 2013)</w:t>
      </w:r>
      <w:r>
        <w:t>.</w:t>
      </w:r>
    </w:p>
  </w:footnote>
  <w:footnote w:id="5">
    <w:p w14:paraId="760DEF8B" w14:textId="77777777" w:rsidR="000E4419" w:rsidRPr="0010229D" w:rsidRDefault="000E4419" w:rsidP="00C33C84">
      <w:pPr>
        <w:pStyle w:val="FootnoteText"/>
      </w:pPr>
      <w:r>
        <w:rPr>
          <w:rStyle w:val="FootnoteReference"/>
        </w:rPr>
        <w:footnoteRef/>
      </w:r>
      <w:r>
        <w:t xml:space="preserve"> Jonathan Steele (2009), </w:t>
      </w:r>
      <w:r>
        <w:rPr>
          <w:i/>
        </w:rPr>
        <w:t>Defeat: Why they lost Iraq</w:t>
      </w:r>
      <w:r>
        <w:t xml:space="preserve">. </w:t>
      </w:r>
      <w:proofErr w:type="gramStart"/>
      <w:r>
        <w:t>I B Tauris.</w:t>
      </w:r>
      <w:proofErr w:type="gramEnd"/>
    </w:p>
  </w:footnote>
  <w:footnote w:id="6">
    <w:p w14:paraId="0FABA05C" w14:textId="77777777" w:rsidR="000E4419" w:rsidRDefault="000E4419" w:rsidP="00C33C84">
      <w:pPr>
        <w:pStyle w:val="FootnoteText"/>
      </w:pPr>
      <w:r>
        <w:rPr>
          <w:rStyle w:val="FootnoteReference"/>
        </w:rPr>
        <w:footnoteRef/>
      </w:r>
      <w:r>
        <w:t xml:space="preserve"> </w:t>
      </w:r>
      <w:r w:rsidRPr="00545C20">
        <w:t xml:space="preserve">Gadaffi’s letters to Western leaders: </w:t>
      </w:r>
      <w:hyperlink r:id="rId2" w:history="1">
        <w:r w:rsidRPr="00545C20">
          <w:rPr>
            <w:color w:val="0000FF"/>
            <w:u w:val="single"/>
          </w:rPr>
          <w:t>http://libyadiary.wordpress.com/2011/05/27/muammar-gaddafis-letters-to-obama-cameron-sarkozy-and-ban-ki-moon/</w:t>
        </w:r>
      </w:hyperlink>
    </w:p>
  </w:footnote>
  <w:footnote w:id="7">
    <w:p w14:paraId="46339C73" w14:textId="77777777" w:rsidR="000E4419" w:rsidRPr="00A51B4C" w:rsidRDefault="000E4419" w:rsidP="00C33C84">
      <w:pPr>
        <w:pStyle w:val="FootnoteText"/>
      </w:pPr>
      <w:r>
        <w:rPr>
          <w:rStyle w:val="FootnoteReference"/>
        </w:rPr>
        <w:footnoteRef/>
      </w:r>
      <w:r>
        <w:t xml:space="preserve"> See the brilliant analysis of the Gaddafi regime by North African </w:t>
      </w:r>
      <w:proofErr w:type="gramStart"/>
      <w:r>
        <w:t>expert  Hugh</w:t>
      </w:r>
      <w:proofErr w:type="gramEnd"/>
      <w:r>
        <w:t xml:space="preserve"> Roberts, “Who Said Gaddafi Had to Go?” </w:t>
      </w:r>
      <w:r>
        <w:rPr>
          <w:i/>
        </w:rPr>
        <w:t>London Review of Books</w:t>
      </w:r>
      <w:r>
        <w:t>, Vol.33, no.22 17 November 2011.</w:t>
      </w:r>
    </w:p>
  </w:footnote>
  <w:footnote w:id="8">
    <w:p w14:paraId="4505B601" w14:textId="77777777" w:rsidR="000E4419" w:rsidRDefault="000E4419" w:rsidP="00C33C84">
      <w:pPr>
        <w:pStyle w:val="FootnoteText"/>
      </w:pPr>
      <w:r>
        <w:rPr>
          <w:rStyle w:val="FootnoteReference"/>
        </w:rPr>
        <w:footnoteRef/>
      </w:r>
      <w:r>
        <w:t xml:space="preserve"> Foreign Secretary William Hague on 20 November 2012 told MPs the National Coalition of the Syrian Revolutionary and Opposition Forces was “the sole legitimate representative” of the Syrian people. BBC, “Syria Conflict: UK recognises opposition, says William Hague” 20 November 2012, 15:44 GMT.</w:t>
      </w:r>
    </w:p>
  </w:footnote>
  <w:footnote w:id="9">
    <w:p w14:paraId="0724101F" w14:textId="77777777" w:rsidR="000E4419" w:rsidRPr="00CC5E93" w:rsidRDefault="000E4419" w:rsidP="00C33C84">
      <w:pPr>
        <w:pStyle w:val="FootnoteText"/>
      </w:pPr>
      <w:r>
        <w:rPr>
          <w:rStyle w:val="FootnoteReference"/>
        </w:rPr>
        <w:footnoteRef/>
      </w:r>
      <w:r>
        <w:t xml:space="preserve"> Journalists’ accounts have shown how </w:t>
      </w:r>
      <w:proofErr w:type="gramStart"/>
      <w:r>
        <w:t>ISIS  is</w:t>
      </w:r>
      <w:proofErr w:type="gramEnd"/>
      <w:r>
        <w:t xml:space="preserve"> filling the political vacuum in both countries, Erika Solomon “ISIS tightens it grip with mix of soft power and terror” </w:t>
      </w:r>
      <w:r>
        <w:rPr>
          <w:i/>
        </w:rPr>
        <w:t>Financial Times</w:t>
      </w:r>
      <w:r>
        <w:t xml:space="preserve"> ( 28 July 2014).</w:t>
      </w:r>
    </w:p>
  </w:footnote>
  <w:footnote w:id="10">
    <w:p w14:paraId="0D8B1AE1" w14:textId="77777777" w:rsidR="000E4419" w:rsidRPr="00290095" w:rsidRDefault="000E4419" w:rsidP="00C33C84">
      <w:pPr>
        <w:rPr>
          <w:sz w:val="20"/>
          <w:szCs w:val="20"/>
        </w:rPr>
      </w:pPr>
      <w:r>
        <w:rPr>
          <w:rStyle w:val="FootnoteReference"/>
        </w:rPr>
        <w:footnoteRef/>
      </w:r>
      <w:r>
        <w:t xml:space="preserve"> </w:t>
      </w:r>
      <w:r w:rsidRPr="00290095">
        <w:rPr>
          <w:sz w:val="20"/>
          <w:szCs w:val="20"/>
        </w:rPr>
        <w:t xml:space="preserve">Giustozzi, Antonio (2000), </w:t>
      </w:r>
      <w:r w:rsidRPr="00290095">
        <w:rPr>
          <w:i/>
          <w:sz w:val="20"/>
          <w:szCs w:val="20"/>
        </w:rPr>
        <w:t>War, politics and society in Afghanistan, 1978-1992</w:t>
      </w:r>
      <w:r w:rsidRPr="00290095">
        <w:rPr>
          <w:sz w:val="20"/>
          <w:szCs w:val="20"/>
        </w:rPr>
        <w:t xml:space="preserve">, </w:t>
      </w:r>
      <w:proofErr w:type="gramStart"/>
      <w:r w:rsidRPr="00290095">
        <w:rPr>
          <w:sz w:val="20"/>
          <w:szCs w:val="20"/>
        </w:rPr>
        <w:t>London :</w:t>
      </w:r>
      <w:proofErr w:type="gramEnd"/>
      <w:r w:rsidRPr="00290095">
        <w:rPr>
          <w:sz w:val="20"/>
          <w:szCs w:val="20"/>
        </w:rPr>
        <w:t xml:space="preserve"> C. Hurst / Georgetown : Georgetown University Press</w:t>
      </w:r>
      <w:r>
        <w:rPr>
          <w:sz w:val="20"/>
          <w:szCs w:val="20"/>
        </w:rPr>
        <w:t>.</w:t>
      </w:r>
    </w:p>
  </w:footnote>
  <w:footnote w:id="11">
    <w:p w14:paraId="2C92E442" w14:textId="77777777" w:rsidR="000E4419" w:rsidRPr="00DF2A47" w:rsidRDefault="000E4419" w:rsidP="00C33C84">
      <w:pPr>
        <w:pStyle w:val="FootnoteText"/>
      </w:pPr>
      <w:r>
        <w:rPr>
          <w:rStyle w:val="FootnoteReference"/>
        </w:rPr>
        <w:footnoteRef/>
      </w:r>
      <w:r>
        <w:t xml:space="preserve"> See J Putzel and J Di John (2012), </w:t>
      </w:r>
      <w:r>
        <w:rPr>
          <w:i/>
        </w:rPr>
        <w:t>Meeting the Challenges of Crisis States</w:t>
      </w:r>
      <w:r>
        <w:t xml:space="preserve">. </w:t>
      </w:r>
      <w:proofErr w:type="gramStart"/>
      <w:r>
        <w:t>Crisis States Research Centre.</w:t>
      </w:r>
      <w:proofErr w:type="gramEnd"/>
    </w:p>
  </w:footnote>
  <w:footnote w:id="12">
    <w:p w14:paraId="1A4B8C80" w14:textId="77777777" w:rsidR="000E4419" w:rsidRDefault="000E4419" w:rsidP="00C33C84">
      <w:pPr>
        <w:pStyle w:val="FootnoteText"/>
      </w:pPr>
      <w:r>
        <w:rPr>
          <w:rStyle w:val="FootnoteReference"/>
        </w:rPr>
        <w:footnoteRef/>
      </w:r>
      <w:r>
        <w:t xml:space="preserve"> The seminal work on “horizontal inequalities” by Frances Stewart and her Oxford team has amply proven this. </w:t>
      </w:r>
      <w:r w:rsidRPr="009C7D90">
        <w:t xml:space="preserve">Stewart, F. </w:t>
      </w:r>
      <w:r>
        <w:t>(</w:t>
      </w:r>
      <w:r w:rsidRPr="009C7D90">
        <w:t>2000</w:t>
      </w:r>
      <w:r>
        <w:t>)</w:t>
      </w:r>
      <w:r w:rsidRPr="009C7D90">
        <w:t>. 'Horizontal Inequalities: A Neglected Dimension of Development', WIDER Annual Lecture 5, Helsinki: WIDER</w:t>
      </w:r>
      <w:r>
        <w:t>.</w:t>
      </w:r>
    </w:p>
  </w:footnote>
  <w:footnote w:id="13">
    <w:p w14:paraId="5F59B9C7" w14:textId="77777777" w:rsidR="000E4419" w:rsidRDefault="000E4419" w:rsidP="00C33C84">
      <w:pPr>
        <w:pStyle w:val="FootnoteText"/>
      </w:pPr>
      <w:r>
        <w:rPr>
          <w:rStyle w:val="FootnoteReference"/>
        </w:rPr>
        <w:footnoteRef/>
      </w:r>
      <w:r>
        <w:t xml:space="preserve"> Hirschman, A (</w:t>
      </w:r>
      <w:r w:rsidRPr="003E2687">
        <w:t>1995</w:t>
      </w:r>
      <w:r>
        <w:t>)</w:t>
      </w:r>
      <w:r w:rsidRPr="003E2687">
        <w:t xml:space="preserve">. 'Social conflicts as pillars of democratic market societies', in: A. Hirschman, </w:t>
      </w:r>
      <w:r w:rsidRPr="003E2687">
        <w:rPr>
          <w:i/>
          <w:iCs/>
        </w:rPr>
        <w:t>A Propensity to Self-Subversion</w:t>
      </w:r>
      <w:r w:rsidRPr="003E2687">
        <w:t>, Cambridge, MA: Harvard University Press</w:t>
      </w:r>
      <w:r>
        <w:t>.</w:t>
      </w:r>
    </w:p>
  </w:footnote>
  <w:footnote w:id="14">
    <w:p w14:paraId="1038F8BD" w14:textId="77777777" w:rsidR="000E4419" w:rsidRPr="004D36D3" w:rsidRDefault="000E4419" w:rsidP="00C33C84">
      <w:pPr>
        <w:pStyle w:val="FootnoteText"/>
      </w:pPr>
      <w:r>
        <w:rPr>
          <w:rStyle w:val="FootnoteReference"/>
        </w:rPr>
        <w:footnoteRef/>
      </w:r>
      <w:r>
        <w:t xml:space="preserve"> Jack Snyder (2000), </w:t>
      </w:r>
      <w:r w:rsidRPr="003E2687">
        <w:rPr>
          <w:i/>
          <w:iCs/>
        </w:rPr>
        <w:t>From Voting to Violence: Democratization and Nationalist Conflict</w:t>
      </w:r>
      <w:r w:rsidRPr="003E2687">
        <w:t>. New York: W.W. Norton and Company</w:t>
      </w:r>
      <w:r>
        <w:t xml:space="preserve">. </w:t>
      </w:r>
    </w:p>
  </w:footnote>
  <w:footnote w:id="15">
    <w:p w14:paraId="74AB1E48" w14:textId="77777777" w:rsidR="000E4419" w:rsidRDefault="000E4419" w:rsidP="00C33C84">
      <w:pPr>
        <w:pStyle w:val="FootnoteText"/>
      </w:pPr>
      <w:r>
        <w:rPr>
          <w:rStyle w:val="FootnoteReference"/>
        </w:rPr>
        <w:footnoteRef/>
      </w:r>
      <w:r>
        <w:t xml:space="preserve"> </w:t>
      </w:r>
      <w:r w:rsidRPr="003E2687">
        <w:t xml:space="preserve">Ghani, Ashraf, </w:t>
      </w:r>
      <w:r w:rsidRPr="003E2687">
        <w:rPr>
          <w:i/>
        </w:rPr>
        <w:t>et al</w:t>
      </w:r>
      <w:r w:rsidRPr="003E2687">
        <w:t xml:space="preserve">. (2007), “The Budget as the Linchpin of the State: Lessons from Afghanistan”, .in James K. Boyce and Madalene O’Donnell (eds.) (2007), </w:t>
      </w:r>
      <w:r w:rsidRPr="003E2687">
        <w:rPr>
          <w:i/>
        </w:rPr>
        <w:t>Peace and the Public Purse: Economic Policies for Postwar Statebuilding</w:t>
      </w:r>
      <w:r w:rsidRPr="003E2687">
        <w:t>,</w:t>
      </w:r>
      <w:r w:rsidRPr="003E2687">
        <w:rPr>
          <w:i/>
        </w:rPr>
        <w:t xml:space="preserve"> </w:t>
      </w:r>
      <w:r w:rsidRPr="003E2687">
        <w:t>Lynne Rienner Publishers, London, pp.153-183</w:t>
      </w:r>
      <w:r>
        <w:t xml:space="preserve">; see also my report for the OECD, </w:t>
      </w:r>
      <w:r w:rsidRPr="00E56B44">
        <w:rPr>
          <w:i/>
        </w:rPr>
        <w:t>Do No Harm: International Support for Statebuilding</w:t>
      </w:r>
      <w:r>
        <w:t xml:space="preserve"> (2010).</w:t>
      </w:r>
    </w:p>
  </w:footnote>
  <w:footnote w:id="16">
    <w:p w14:paraId="63B5B620" w14:textId="77777777" w:rsidR="000E4419" w:rsidRDefault="000E4419" w:rsidP="00C33C84">
      <w:pPr>
        <w:pStyle w:val="FootnoteText"/>
      </w:pPr>
      <w:r>
        <w:rPr>
          <w:rStyle w:val="FootnoteReference"/>
        </w:rPr>
        <w:footnoteRef/>
      </w:r>
      <w:r>
        <w:t xml:space="preserve"> United Nations, Economic and Social Council, “Report of the Ad Hoc Advisory Group on Guinea-Bissau”, E207/57, 7 May 2007.</w:t>
      </w:r>
    </w:p>
  </w:footnote>
  <w:footnote w:id="17">
    <w:p w14:paraId="4D18E123" w14:textId="77777777" w:rsidR="000E4419" w:rsidRDefault="000E4419" w:rsidP="00C33C84">
      <w:pPr>
        <w:pStyle w:val="FootnoteText"/>
      </w:pPr>
      <w:r>
        <w:rPr>
          <w:rStyle w:val="FootnoteReference"/>
        </w:rPr>
        <w:footnoteRef/>
      </w:r>
      <w:r>
        <w:t xml:space="preserve"> </w:t>
      </w:r>
      <w:r w:rsidRPr="009A0EE3">
        <w:t xml:space="preserve">Hesselbein, G. (2007), ‘The Rise and Decline of the Congolese State: an analytical narrative on </w:t>
      </w:r>
      <w:proofErr w:type="gramStart"/>
      <w:r w:rsidRPr="009A0EE3">
        <w:t>state-making</w:t>
      </w:r>
      <w:proofErr w:type="gramEnd"/>
      <w:r w:rsidRPr="009A0EE3">
        <w:t>’. Crisis States Working Paper (Series 2)</w:t>
      </w:r>
      <w:r>
        <w:t>.</w:t>
      </w:r>
    </w:p>
  </w:footnote>
  <w:footnote w:id="18">
    <w:p w14:paraId="77B802E3" w14:textId="77777777" w:rsidR="000E4419" w:rsidRDefault="000E4419" w:rsidP="00C33C84">
      <w:pPr>
        <w:pStyle w:val="FootnoteText"/>
      </w:pPr>
      <w:r w:rsidRPr="006A2D26">
        <w:rPr>
          <w:rStyle w:val="FootnoteReference"/>
        </w:rPr>
        <w:footnoteRef/>
      </w:r>
      <w:r w:rsidRPr="006A2D26">
        <w:t xml:space="preserve"> In the Nigerian civil war between 1967 and 1970, three million people were estimated to have died</w:t>
      </w:r>
      <w:r>
        <w:t>, mainly on the side of separatist Biafra</w:t>
      </w:r>
      <w:r w:rsidRPr="006A2D26">
        <w:t>.</w:t>
      </w:r>
    </w:p>
  </w:footnote>
  <w:footnote w:id="19">
    <w:p w14:paraId="6953ADE2" w14:textId="77777777" w:rsidR="000E4419" w:rsidRDefault="000E4419" w:rsidP="00C33C84">
      <w:pPr>
        <w:pStyle w:val="FootnoteText"/>
      </w:pPr>
      <w:r>
        <w:rPr>
          <w:rStyle w:val="FootnoteReference"/>
        </w:rPr>
        <w:footnoteRef/>
      </w:r>
      <w:r>
        <w:t xml:space="preserve"> Nonviolent and Violent Conflict Outcomes (NAVCO) Dataset available at: navcodata.org. </w:t>
      </w:r>
    </w:p>
  </w:footnote>
  <w:footnote w:id="20">
    <w:p w14:paraId="4A4294D6" w14:textId="77777777" w:rsidR="000E4419" w:rsidRPr="005200B9" w:rsidRDefault="000E4419" w:rsidP="00C33C84">
      <w:pPr>
        <w:pStyle w:val="FootnoteText"/>
      </w:pPr>
      <w:r>
        <w:rPr>
          <w:rStyle w:val="FootnoteReference"/>
        </w:rPr>
        <w:footnoteRef/>
      </w:r>
      <w:r>
        <w:t xml:space="preserve"> See Benjamin Valentino, </w:t>
      </w:r>
      <w:r>
        <w:rPr>
          <w:i/>
        </w:rPr>
        <w:t>Final Solutions: Mass Killing and Genocide in the 20</w:t>
      </w:r>
      <w:r w:rsidRPr="005200B9">
        <w:rPr>
          <w:i/>
          <w:vertAlign w:val="superscript"/>
        </w:rPr>
        <w:t>th</w:t>
      </w:r>
      <w:r>
        <w:rPr>
          <w:i/>
        </w:rPr>
        <w:t xml:space="preserve"> Century, </w:t>
      </w:r>
      <w:r>
        <w:t xml:space="preserve">Cornell University Press, 2005.  </w:t>
      </w:r>
    </w:p>
  </w:footnote>
  <w:footnote w:id="21">
    <w:p w14:paraId="7754B87F" w14:textId="77777777" w:rsidR="000E4419" w:rsidRDefault="000E4419" w:rsidP="00C33C84">
      <w:pPr>
        <w:pStyle w:val="FootnoteText"/>
      </w:pPr>
      <w:r>
        <w:rPr>
          <w:rStyle w:val="FootnoteReference"/>
        </w:rPr>
        <w:footnoteRef/>
      </w:r>
      <w:r>
        <w:t xml:space="preserve"> See UCDP/PRIO Dataset, updated 2014: </w:t>
      </w:r>
      <w:hyperlink r:id="rId3" w:history="1">
        <w:r w:rsidRPr="00031587">
          <w:rPr>
            <w:rStyle w:val="Hyperlink"/>
          </w:rPr>
          <w:t>http://www.pcr.uu.se/research/ucdp/datasets/ucdp_prio_armed_conflict_dataset/</w:t>
        </w:r>
      </w:hyperlink>
      <w:r>
        <w:t xml:space="preserve">. </w:t>
      </w:r>
    </w:p>
  </w:footnote>
  <w:footnote w:id="22">
    <w:p w14:paraId="0836C96A" w14:textId="77777777" w:rsidR="000E4419" w:rsidRDefault="000E4419" w:rsidP="00C33C84">
      <w:pPr>
        <w:pStyle w:val="FootnoteText"/>
      </w:pPr>
      <w:r>
        <w:rPr>
          <w:rStyle w:val="FootnoteReference"/>
        </w:rPr>
        <w:footnoteRef/>
      </w:r>
      <w:r>
        <w:t xml:space="preserve"> See </w:t>
      </w:r>
      <w:r w:rsidRPr="001630B2">
        <w:rPr>
          <w:i/>
        </w:rPr>
        <w:t>Diplomat’s Handbook for Democracy Development Support</w:t>
      </w:r>
      <w:r>
        <w:rPr>
          <w:i/>
        </w:rPr>
        <w:t xml:space="preserve">, </w:t>
      </w:r>
      <w:r>
        <w:t xml:space="preserve">which exists as an on-line living document: </w:t>
      </w:r>
      <w:hyperlink r:id="rId4" w:history="1">
        <w:r w:rsidRPr="00031587">
          <w:rPr>
            <w:rStyle w:val="Hyperlink"/>
          </w:rPr>
          <w:t>www.diplomatshandbook.org</w:t>
        </w:r>
      </w:hyperlink>
      <w:r>
        <w:t xml:space="preserve">. </w:t>
      </w:r>
    </w:p>
  </w:footnote>
  <w:footnote w:id="23">
    <w:p w14:paraId="38D9A2ED" w14:textId="77777777" w:rsidR="000E4419" w:rsidRPr="001630B2" w:rsidRDefault="000E4419" w:rsidP="00C33C84">
      <w:pPr>
        <w:pStyle w:val="FootnoteText"/>
      </w:pPr>
      <w:r>
        <w:rPr>
          <w:rStyle w:val="FootnoteReference"/>
        </w:rPr>
        <w:footnoteRef/>
      </w:r>
      <w:r>
        <w:t xml:space="preserve"> See </w:t>
      </w:r>
      <w:r>
        <w:rPr>
          <w:i/>
        </w:rPr>
        <w:t>Military Engagement</w:t>
      </w:r>
      <w:r>
        <w:t xml:space="preserve"> guide: </w:t>
      </w:r>
      <w:hyperlink r:id="rId5" w:history="1">
        <w:r w:rsidRPr="00031587">
          <w:rPr>
            <w:rStyle w:val="Hyperlink"/>
          </w:rPr>
          <w:t>http://www.brookings.edu/research/books/2013/armed-forces-support-democracy</w:t>
        </w:r>
      </w:hyperlink>
      <w:r>
        <w:t xml:space="preserve">. </w:t>
      </w:r>
    </w:p>
  </w:footnote>
  <w:footnote w:id="24">
    <w:p w14:paraId="169B136B" w14:textId="77777777" w:rsidR="000E4419" w:rsidRPr="00777FD9" w:rsidRDefault="000E4419" w:rsidP="00325D10">
      <w:pPr>
        <w:pStyle w:val="FootnoteText"/>
        <w:rPr>
          <w:rFonts w:ascii="Garamond" w:hAnsi="Garamond"/>
        </w:rPr>
      </w:pPr>
      <w:r w:rsidRPr="00777FD9">
        <w:rPr>
          <w:rStyle w:val="FootnoteReference"/>
          <w:rFonts w:ascii="Garamond" w:hAnsi="Garamond"/>
        </w:rPr>
        <w:footnoteRef/>
      </w:r>
      <w:r w:rsidRPr="00777FD9">
        <w:rPr>
          <w:rFonts w:ascii="Garamond" w:hAnsi="Garamond"/>
        </w:rPr>
        <w:t xml:space="preserve"> </w:t>
      </w:r>
      <w:r>
        <w:rPr>
          <w:rFonts w:ascii="Garamond" w:hAnsi="Garamond"/>
          <w:szCs w:val="22"/>
        </w:rPr>
        <w:t>We define conflict in this paper as, “</w:t>
      </w:r>
      <w:r w:rsidRPr="00777FD9">
        <w:rPr>
          <w:rFonts w:ascii="Garamond" w:hAnsi="Garamond"/>
          <w:szCs w:val="22"/>
        </w:rPr>
        <w:t>acts of violence which are: (a) collective (e.g., involving at least one organized group), and (b) organized around group identities or political motivations (e.g., as opposed to</w:t>
      </w:r>
      <w:r>
        <w:rPr>
          <w:rFonts w:ascii="Garamond" w:hAnsi="Garamond"/>
          <w:szCs w:val="22"/>
        </w:rPr>
        <w:t xml:space="preserve"> common crime such as homicide)” (Cummings, Merrilees, Taylor, &amp; Mondi, in progress). C</w:t>
      </w:r>
      <w:r w:rsidRPr="00777FD9">
        <w:rPr>
          <w:rFonts w:ascii="Garamond" w:hAnsi="Garamond"/>
          <w:szCs w:val="22"/>
        </w:rPr>
        <w:t>onflict-affected contexts can be conceptualized as: (1) areas directly experiencing conflict (Burde &amp; Linden, 2013); (2) areas in the same country indirectly experiencing conflict through the influx of internally displaced persons; and (3) areas in a different country indirectly experiencing conflict through the influx of refugees.</w:t>
      </w:r>
    </w:p>
  </w:footnote>
  <w:footnote w:id="25">
    <w:p w14:paraId="7CD1A72D" w14:textId="77777777" w:rsidR="000E4419" w:rsidRPr="006E1D46" w:rsidRDefault="000E4419" w:rsidP="00B552DA">
      <w:pPr>
        <w:pStyle w:val="FootnoteText"/>
        <w:rPr>
          <w:lang w:val="en-GB"/>
        </w:rPr>
      </w:pPr>
      <w:r>
        <w:rPr>
          <w:rStyle w:val="FootnoteReference"/>
        </w:rPr>
        <w:footnoteRef/>
      </w:r>
      <w:r w:rsidRPr="006E1D46">
        <w:rPr>
          <w:lang w:val="en-GB"/>
        </w:rPr>
        <w:t xml:space="preserve"> </w:t>
      </w:r>
      <w:proofErr w:type="gramStart"/>
      <w:r w:rsidRPr="00B86512">
        <w:rPr>
          <w:lang w:val="en-GB"/>
        </w:rPr>
        <w:t>Note that these figure</w:t>
      </w:r>
      <w:r>
        <w:rPr>
          <w:lang w:val="en-GB"/>
        </w:rPr>
        <w:t>s</w:t>
      </w:r>
      <w:r w:rsidRPr="00B86512">
        <w:rPr>
          <w:lang w:val="en-GB"/>
        </w:rPr>
        <w:t xml:space="preserve"> will be updated for my presentation; they currently date from 20</w:t>
      </w:r>
      <w:r>
        <w:rPr>
          <w:lang w:val="en-GB"/>
        </w:rPr>
        <w:t>0</w:t>
      </w:r>
      <w:r w:rsidRPr="00B86512">
        <w:rPr>
          <w:lang w:val="en-GB"/>
        </w:rPr>
        <w:t>8-2011.</w:t>
      </w:r>
      <w:proofErr w:type="gramEnd"/>
    </w:p>
  </w:footnote>
  <w:footnote w:id="26">
    <w:p w14:paraId="12076B0D" w14:textId="77777777" w:rsidR="000E4419" w:rsidRPr="006E1D46" w:rsidRDefault="000E4419" w:rsidP="00B552DA">
      <w:pPr>
        <w:pStyle w:val="FootnoteText"/>
        <w:rPr>
          <w:lang w:val="en-GB"/>
        </w:rPr>
      </w:pPr>
      <w:r>
        <w:rPr>
          <w:rStyle w:val="FootnoteReference"/>
        </w:rPr>
        <w:footnoteRef/>
      </w:r>
      <w:r w:rsidRPr="006E1D46">
        <w:rPr>
          <w:lang w:val="en-GB"/>
        </w:rPr>
        <w:t xml:space="preserve"> Cook, 2013, p 51.</w:t>
      </w:r>
    </w:p>
  </w:footnote>
  <w:footnote w:id="27">
    <w:p w14:paraId="41A29562" w14:textId="77777777" w:rsidR="000E4419" w:rsidRPr="006E1D46" w:rsidRDefault="000E4419" w:rsidP="00B552DA">
      <w:pPr>
        <w:pStyle w:val="FootnoteText"/>
        <w:rPr>
          <w:lang w:val="en-GB"/>
        </w:rPr>
      </w:pPr>
      <w:r>
        <w:rPr>
          <w:rStyle w:val="FootnoteReference"/>
        </w:rPr>
        <w:footnoteRef/>
      </w:r>
      <w:r w:rsidRPr="006E1D46">
        <w:rPr>
          <w:lang w:val="en-GB"/>
        </w:rPr>
        <w:t xml:space="preserve"> </w:t>
      </w:r>
      <w:r w:rsidRPr="008C68DB">
        <w:rPr>
          <w:lang w:val="en-GB"/>
        </w:rPr>
        <w:t>Papachristos, Braga</w:t>
      </w:r>
      <w:r>
        <w:rPr>
          <w:lang w:val="en-GB"/>
        </w:rPr>
        <w:t xml:space="preserve"> and </w:t>
      </w:r>
      <w:r w:rsidRPr="008C68DB">
        <w:rPr>
          <w:lang w:val="en-GB"/>
        </w:rPr>
        <w:t>Hureau</w:t>
      </w:r>
      <w:r>
        <w:rPr>
          <w:lang w:val="en-GB"/>
        </w:rPr>
        <w:t>, 2012.</w:t>
      </w:r>
    </w:p>
  </w:footnote>
  <w:footnote w:id="28">
    <w:p w14:paraId="1549AB45" w14:textId="77777777" w:rsidR="000E4419" w:rsidRPr="004C6D58" w:rsidRDefault="000E4419" w:rsidP="00B552DA">
      <w:pPr>
        <w:pStyle w:val="FootnoteText"/>
        <w:rPr>
          <w:lang w:val="en-GB"/>
        </w:rPr>
      </w:pPr>
      <w:r>
        <w:rPr>
          <w:rStyle w:val="FootnoteReference"/>
        </w:rPr>
        <w:footnoteRef/>
      </w:r>
      <w:r w:rsidRPr="004C6D58">
        <w:rPr>
          <w:lang w:val="en-GB"/>
        </w:rPr>
        <w:t xml:space="preserve"> </w:t>
      </w:r>
      <w:r>
        <w:rPr>
          <w:lang w:val="en-GB"/>
        </w:rPr>
        <w:t xml:space="preserve">Hemenway, 2011, p. 7, </w:t>
      </w:r>
      <w:r w:rsidRPr="004C6D58">
        <w:rPr>
          <w:lang w:val="en-GB"/>
        </w:rPr>
        <w:t>pp. 7</w:t>
      </w:r>
      <w:r>
        <w:rPr>
          <w:lang w:val="en-GB"/>
        </w:rPr>
        <w:t>-</w:t>
      </w:r>
      <w:r w:rsidRPr="004C6D58">
        <w:rPr>
          <w:lang w:val="en-GB"/>
        </w:rPr>
        <w:t>9.</w:t>
      </w:r>
    </w:p>
  </w:footnote>
  <w:footnote w:id="29">
    <w:p w14:paraId="463C214D" w14:textId="77777777" w:rsidR="000E4419" w:rsidRPr="009836C7" w:rsidRDefault="000E4419" w:rsidP="00B552DA">
      <w:pPr>
        <w:pStyle w:val="FootnoteText"/>
        <w:rPr>
          <w:lang w:val="en-GB"/>
        </w:rPr>
      </w:pPr>
      <w:r>
        <w:rPr>
          <w:rStyle w:val="FootnoteReference"/>
        </w:rPr>
        <w:footnoteRef/>
      </w:r>
      <w:r>
        <w:t xml:space="preserve"> </w:t>
      </w:r>
      <w:r>
        <w:rPr>
          <w:lang w:val="en-GB"/>
        </w:rPr>
        <w:t xml:space="preserve">Sherman, L. 1980. Perspectives on Police Violence </w:t>
      </w:r>
      <w:r>
        <w:rPr>
          <w:i/>
          <w:lang w:val="en-GB"/>
        </w:rPr>
        <w:t xml:space="preserve">ANNAL, </w:t>
      </w:r>
      <w:r>
        <w:rPr>
          <w:lang w:val="en-GB"/>
        </w:rPr>
        <w:t>452</w:t>
      </w:r>
    </w:p>
  </w:footnote>
  <w:footnote w:id="30">
    <w:p w14:paraId="0BD65966" w14:textId="77777777" w:rsidR="000E4419" w:rsidRPr="00D32A02" w:rsidRDefault="000E4419" w:rsidP="00B552DA">
      <w:pPr>
        <w:pStyle w:val="FootnoteText"/>
        <w:rPr>
          <w:lang w:val="en-GB"/>
        </w:rPr>
      </w:pPr>
      <w:r>
        <w:rPr>
          <w:rStyle w:val="FootnoteReference"/>
        </w:rPr>
        <w:footnoteRef/>
      </w:r>
      <w:r>
        <w:t xml:space="preserve"> </w:t>
      </w:r>
      <w:r>
        <w:rPr>
          <w:lang w:val="en-GB"/>
        </w:rPr>
        <w:t xml:space="preserve">Mastrofski, S.D. 1999. Policing for People. Washington D.C.: Police Foundation </w:t>
      </w:r>
    </w:p>
  </w:footnote>
  <w:footnote w:id="31">
    <w:p w14:paraId="39304A0A" w14:textId="77777777" w:rsidR="000E4419" w:rsidRPr="002634FE" w:rsidRDefault="000E4419" w:rsidP="00B552DA">
      <w:pPr>
        <w:pStyle w:val="FootnoteText"/>
        <w:rPr>
          <w:lang w:val="en-GB"/>
        </w:rPr>
      </w:pPr>
      <w:r>
        <w:rPr>
          <w:rStyle w:val="FootnoteReference"/>
        </w:rPr>
        <w:footnoteRef/>
      </w:r>
      <w:r>
        <w:t xml:space="preserve"> </w:t>
      </w:r>
      <w:r>
        <w:rPr>
          <w:lang w:val="en-GB"/>
        </w:rPr>
        <w:t>Greene, J.R. 2010. Policing Through human Rights. Washington D.C.: Police Foundation</w:t>
      </w:r>
    </w:p>
  </w:footnote>
  <w:footnote w:id="32">
    <w:p w14:paraId="0C952D04" w14:textId="77777777" w:rsidR="000E4419" w:rsidRDefault="000E4419" w:rsidP="00B552DA">
      <w:pPr>
        <w:pStyle w:val="FootnoteText"/>
        <w:rPr>
          <w:lang w:val="en-GB"/>
        </w:rPr>
      </w:pPr>
      <w:r>
        <w:rPr>
          <w:rStyle w:val="FootnoteReference"/>
        </w:rPr>
        <w:footnoteRef/>
      </w:r>
      <w:r>
        <w:t xml:space="preserve"> </w:t>
      </w:r>
      <w:r>
        <w:rPr>
          <w:lang w:val="en-GB"/>
        </w:rPr>
        <w:t>Goldstein, H. 1977. Policing Free Society. HapperCollins</w:t>
      </w:r>
    </w:p>
    <w:p w14:paraId="51EC9B97" w14:textId="77777777" w:rsidR="000E4419" w:rsidRPr="00D32A02" w:rsidRDefault="000E4419" w:rsidP="00B552DA">
      <w:pPr>
        <w:pStyle w:val="FootnoteText"/>
        <w:rPr>
          <w:lang w:val="en-GB"/>
        </w:rPr>
      </w:pPr>
    </w:p>
  </w:footnote>
  <w:footnote w:id="33">
    <w:p w14:paraId="7D19BEFA" w14:textId="77777777" w:rsidR="000E4419" w:rsidRPr="008A6C60" w:rsidRDefault="000E4419" w:rsidP="00B552DA">
      <w:pPr>
        <w:pStyle w:val="FootnoteText"/>
        <w:rPr>
          <w:lang w:val="en-GB"/>
        </w:rPr>
      </w:pPr>
      <w:r>
        <w:rPr>
          <w:rStyle w:val="FootnoteReference"/>
        </w:rPr>
        <w:footnoteRef/>
      </w:r>
      <w:r>
        <w:t xml:space="preserve"> </w:t>
      </w:r>
      <w:r>
        <w:rPr>
          <w:lang w:val="en-GB"/>
        </w:rPr>
        <w:t xml:space="preserve">Prior to 1968, there were federal and local police forces at the Native Authority and Local Government levels respectively in the Northern and Western Regions of Nigeria. Eastern Region did not maintain local police forces. The Local police forces were dissolved based on the recommendation of Working Party constituted by the first military regime in Nigeria under General JTU Aguyi-Ironsi in 1966. The Working Party recommended the dissolution of the local police forces because of their abuse by the government and ruling party against opposition; corruption, brutality and poor standard of training and organisation. Some of the personnel of the local forces were absolved into the federal police forces been and retrained. There has been an increasing demand for devolution of power to the state to establish and maintain state police forces.  </w:t>
      </w:r>
    </w:p>
  </w:footnote>
  <w:footnote w:id="34">
    <w:p w14:paraId="5FC075D4" w14:textId="77777777" w:rsidR="000E4419" w:rsidRDefault="000E4419" w:rsidP="00B552DA">
      <w:pPr>
        <w:pStyle w:val="FootnoteText"/>
      </w:pPr>
      <w:r>
        <w:rPr>
          <w:rStyle w:val="FootnoteReference"/>
        </w:rPr>
        <w:footnoteRef/>
      </w:r>
      <w:r>
        <w:t xml:space="preserve"> The Law was first enacted in 1943 and there had been only very minor modifications. </w:t>
      </w:r>
    </w:p>
  </w:footnote>
  <w:footnote w:id="35">
    <w:p w14:paraId="75752D57" w14:textId="77777777" w:rsidR="000E4419" w:rsidRPr="002425F8" w:rsidRDefault="000E4419" w:rsidP="00B552DA">
      <w:pPr>
        <w:pStyle w:val="FootnoteText"/>
        <w:rPr>
          <w:lang w:val="en-GB"/>
        </w:rPr>
      </w:pPr>
      <w:r>
        <w:rPr>
          <w:rStyle w:val="FootnoteReference"/>
        </w:rPr>
        <w:footnoteRef/>
      </w:r>
      <w:r>
        <w:t xml:space="preserve"> Alemika, EEO 2013. </w:t>
      </w:r>
      <w:r w:rsidRPr="00620677">
        <w:rPr>
          <w:lang w:val="en-GB"/>
        </w:rPr>
        <w:t xml:space="preserve">2013. </w:t>
      </w:r>
      <w:r w:rsidRPr="00620677">
        <w:rPr>
          <w:i/>
          <w:lang w:val="en-GB"/>
        </w:rPr>
        <w:t xml:space="preserve">Criminal victimization, Policing and Governance in Nigeria. </w:t>
      </w:r>
      <w:r w:rsidRPr="00620677">
        <w:rPr>
          <w:lang w:val="en-GB"/>
        </w:rPr>
        <w:t>Lagos  &amp; Abuja: CLEEN Foundation)</w:t>
      </w:r>
      <w:r>
        <w:rPr>
          <w:lang w:val="en-GB"/>
        </w:rPr>
        <w:t>. 2011 was an election year, which may have been responsible for increased violent crimes, given the history of electoral violence in the country.</w:t>
      </w:r>
    </w:p>
  </w:footnote>
  <w:footnote w:id="36">
    <w:p w14:paraId="2B594EF4" w14:textId="77777777" w:rsidR="000E4419" w:rsidRPr="0082219B" w:rsidRDefault="000E4419" w:rsidP="00B552DA">
      <w:pPr>
        <w:pStyle w:val="FootnoteText"/>
        <w:rPr>
          <w:lang w:val="en-GB"/>
        </w:rPr>
      </w:pPr>
      <w:r>
        <w:rPr>
          <w:rStyle w:val="FootnoteReference"/>
        </w:rPr>
        <w:footnoteRef/>
      </w:r>
      <w:r>
        <w:t xml:space="preserve"> </w:t>
      </w:r>
      <w:proofErr w:type="gramStart"/>
      <w:r>
        <w:rPr>
          <w:lang w:val="en-GB"/>
        </w:rPr>
        <w:t>Federal Government of Nigeria, 2012.</w:t>
      </w:r>
      <w:proofErr w:type="gramEnd"/>
      <w:r>
        <w:rPr>
          <w:lang w:val="en-GB"/>
        </w:rPr>
        <w:t xml:space="preserve"> </w:t>
      </w:r>
      <w:proofErr w:type="gramStart"/>
      <w:r>
        <w:rPr>
          <w:lang w:val="en-GB"/>
        </w:rPr>
        <w:t>White Paper on the Report of the Federal Government Investigation Panel on the 2011 Election Violence and Civil Disturbances, p.17.</w:t>
      </w:r>
      <w:proofErr w:type="gramEnd"/>
    </w:p>
  </w:footnote>
  <w:footnote w:id="37">
    <w:p w14:paraId="1C36B34B" w14:textId="77777777" w:rsidR="000E4419" w:rsidRPr="0007595D" w:rsidRDefault="000E4419" w:rsidP="00B552DA">
      <w:pPr>
        <w:pStyle w:val="FootnoteText"/>
        <w:jc w:val="both"/>
      </w:pPr>
      <w:r>
        <w:rPr>
          <w:rStyle w:val="FootnoteReference"/>
        </w:rPr>
        <w:footnoteRef/>
      </w:r>
      <w:r>
        <w:t xml:space="preserve"> </w:t>
      </w:r>
      <w:r w:rsidRPr="0007595D">
        <w:t xml:space="preserve">Ahire, P. T. (1991) </w:t>
      </w:r>
      <w:r w:rsidRPr="0007595D">
        <w:rPr>
          <w:i/>
        </w:rPr>
        <w:t>Imperial Policing</w:t>
      </w:r>
      <w:r w:rsidRPr="0007595D">
        <w:t xml:space="preserve">  Milton Keynes: Open University Press; Ahire, P. T. (1993) “Native Authority Police in Northern Nigeria : End of an Era.” in T.N. Tamuno, I. L. Bashir, E.E.O. Alemika, and A. Akano (eds.)  </w:t>
      </w:r>
      <w:r w:rsidRPr="0007595D">
        <w:rPr>
          <w:i/>
        </w:rPr>
        <w:t>Policing Nigeria: Past, Present and Future</w:t>
      </w:r>
      <w:r w:rsidRPr="0007595D">
        <w:t xml:space="preserve"> (Lagos: Malthouse Press Ltd.); Rotimi, K. (1993) “Local Police in Western Nigeria : End of an Era” in T. N. Tamuno, </w:t>
      </w:r>
      <w:r w:rsidRPr="0007595D">
        <w:rPr>
          <w:i/>
        </w:rPr>
        <w:t xml:space="preserve">et al  </w:t>
      </w:r>
      <w:r w:rsidRPr="0007595D">
        <w:t xml:space="preserve">Eds. </w:t>
      </w:r>
      <w:r w:rsidRPr="0007595D">
        <w:rPr>
          <w:i/>
        </w:rPr>
        <w:t xml:space="preserve">Policing Nigeria; </w:t>
      </w:r>
      <w:r w:rsidRPr="0007595D">
        <w:t xml:space="preserve">Alemika, E. E. O. (1993) “Colonialism, State and Policing in Nigeria” </w:t>
      </w:r>
      <w:r w:rsidRPr="0007595D">
        <w:rPr>
          <w:i/>
        </w:rPr>
        <w:t>Crime, Law and</w:t>
      </w:r>
      <w:r w:rsidRPr="0007595D">
        <w:t xml:space="preserve"> </w:t>
      </w:r>
      <w:r w:rsidRPr="0007595D">
        <w:rPr>
          <w:i/>
        </w:rPr>
        <w:t>Social Change</w:t>
      </w:r>
      <w:r w:rsidRPr="0007595D">
        <w:t xml:space="preserve"> 20: 189-219; Alemika, EEO. 2003a - “Police Corruption and Insecurity in Nigeria”, in S. Einstein and M. Amir (Eds.) </w:t>
      </w:r>
      <w:r w:rsidRPr="0007595D">
        <w:rPr>
          <w:i/>
          <w:iCs/>
        </w:rPr>
        <w:t>Police Corruption: Paradigms, Models and concepts – Challenges for Developing Countries</w:t>
      </w:r>
      <w:r w:rsidRPr="0007595D">
        <w:t xml:space="preserve">, Huntsville, Texas: Office of International Criminal Justice, Sam Houston State University; Alemika, </w:t>
      </w:r>
      <w:r w:rsidRPr="0007595D">
        <w:rPr>
          <w:lang w:val="en-GB"/>
        </w:rPr>
        <w:t xml:space="preserve">EEO. 2003b - “Police Accountability in Nigeria: Framework and Limitations” in E. E. O. Alemika and I. C. Chukwuma (Eds.) </w:t>
      </w:r>
      <w:r w:rsidRPr="0007595D">
        <w:rPr>
          <w:i/>
          <w:iCs/>
          <w:lang w:val="en-GB"/>
        </w:rPr>
        <w:t>Civilian Oversight and Accountability of Police in Nigeria”</w:t>
      </w:r>
      <w:r w:rsidRPr="0007595D">
        <w:rPr>
          <w:lang w:val="en-GB"/>
        </w:rPr>
        <w:t xml:space="preserve"> Centre for Law Enforcement Education, Lagos and Police Service Commission, Abuja; Alemika, E. and I.C. Chukwuma, 2000 Police-Community Violence in Nigeria, Lagos: Centre for Law Enforcement; </w:t>
      </w:r>
      <w:r w:rsidRPr="0007595D">
        <w:t xml:space="preserve">Kayode, O. (1976) “Public Expectations and Police Role Concepts: Nigeria” </w:t>
      </w:r>
      <w:r w:rsidRPr="0007595D">
        <w:rPr>
          <w:i/>
        </w:rPr>
        <w:t>Police Chief</w:t>
      </w:r>
      <w:r w:rsidRPr="0007595D">
        <w:t xml:space="preserve"> (May): 58-59. Odekunle, F. (1979) “The Nigeria Police Force: A Preliminary Assessment of Functional Performance”</w:t>
      </w:r>
      <w:r w:rsidRPr="0007595D">
        <w:rPr>
          <w:i/>
        </w:rPr>
        <w:t xml:space="preserve"> International Journal of Sociology of Law</w:t>
      </w:r>
      <w:r w:rsidRPr="0007595D">
        <w:t xml:space="preserve"> (7): 61-83; Tamuno, T. N.  (1970) </w:t>
      </w:r>
      <w:r w:rsidRPr="0007595D">
        <w:rPr>
          <w:i/>
        </w:rPr>
        <w:t>The Police in Modern Nigeria:  1861-1965</w:t>
      </w:r>
      <w:r w:rsidRPr="0007595D">
        <w:t xml:space="preserve">.  Ibadan:  Ibadan University Press; Working Party on Police and Prisons (1966) </w:t>
      </w:r>
      <w:r w:rsidRPr="0007595D">
        <w:rPr>
          <w:i/>
        </w:rPr>
        <w:t xml:space="preserve">The Report of the Working Party on Police. </w:t>
      </w:r>
      <w:r w:rsidRPr="0007595D">
        <w:t>Lagos: Federal Government Press</w:t>
      </w:r>
      <w:r w:rsidRPr="0007595D">
        <w:rPr>
          <w:i/>
        </w:rPr>
        <w:t xml:space="preserve">. </w:t>
      </w:r>
      <w:r w:rsidRPr="0007595D">
        <w:t xml:space="preserve">Alemika E. E. 1988. “Policing and Perceptions of Police in Nigeria” </w:t>
      </w:r>
      <w:r w:rsidRPr="0007595D">
        <w:rPr>
          <w:i/>
        </w:rPr>
        <w:t>Police Studies</w:t>
      </w:r>
      <w:r w:rsidRPr="0007595D">
        <w:t xml:space="preserve"> 11(4): 161-176; </w:t>
      </w:r>
    </w:p>
    <w:p w14:paraId="7989171D" w14:textId="77777777" w:rsidR="000E4419" w:rsidRPr="00935034" w:rsidRDefault="000E4419" w:rsidP="00B552DA">
      <w:pPr>
        <w:pStyle w:val="FootnoteText"/>
      </w:pPr>
    </w:p>
    <w:p w14:paraId="1B48AFB2" w14:textId="77777777" w:rsidR="000E4419" w:rsidRPr="00935034" w:rsidRDefault="000E4419" w:rsidP="00B552DA">
      <w:pPr>
        <w:pStyle w:val="FootnoteText"/>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26285" w14:textId="77777777" w:rsidR="000E4419" w:rsidRPr="00006B6B" w:rsidRDefault="000E4419">
    <w:pPr>
      <w:pStyle w:val="Header"/>
      <w:rPr>
        <w:i/>
      </w:rPr>
    </w:pPr>
    <w:r>
      <w:ptab w:relativeTo="margin" w:alignment="center" w:leader="none"/>
    </w:r>
    <w:r>
      <w:ptab w:relativeTo="margin" w:alignment="right" w:leader="none"/>
    </w:r>
    <w:r>
      <w:rPr>
        <w:i/>
      </w:rPr>
      <w:t>Global Violence Reduction Conference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658"/>
    <w:multiLevelType w:val="hybridMultilevel"/>
    <w:tmpl w:val="9C9C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367C"/>
    <w:multiLevelType w:val="hybridMultilevel"/>
    <w:tmpl w:val="7D40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331DB"/>
    <w:multiLevelType w:val="hybridMultilevel"/>
    <w:tmpl w:val="D21C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164EB"/>
    <w:multiLevelType w:val="hybridMultilevel"/>
    <w:tmpl w:val="8B244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5E0376"/>
    <w:multiLevelType w:val="hybridMultilevel"/>
    <w:tmpl w:val="EF72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A7D1A"/>
    <w:multiLevelType w:val="hybridMultilevel"/>
    <w:tmpl w:val="3326979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nsid w:val="0C944056"/>
    <w:multiLevelType w:val="hybridMultilevel"/>
    <w:tmpl w:val="B96AC8E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952F43"/>
    <w:multiLevelType w:val="hybridMultilevel"/>
    <w:tmpl w:val="8F564056"/>
    <w:lvl w:ilvl="0" w:tplc="319A6BCA">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D05BE"/>
    <w:multiLevelType w:val="hybridMultilevel"/>
    <w:tmpl w:val="B45E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34D46"/>
    <w:multiLevelType w:val="hybridMultilevel"/>
    <w:tmpl w:val="89086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2729F"/>
    <w:multiLevelType w:val="hybridMultilevel"/>
    <w:tmpl w:val="093E029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13623DB2"/>
    <w:multiLevelType w:val="multilevel"/>
    <w:tmpl w:val="4EA6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6F14AF"/>
    <w:multiLevelType w:val="hybridMultilevel"/>
    <w:tmpl w:val="D2E4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54BC9"/>
    <w:multiLevelType w:val="hybridMultilevel"/>
    <w:tmpl w:val="4ABA58DC"/>
    <w:lvl w:ilvl="0" w:tplc="F0A8EAF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62CD6"/>
    <w:multiLevelType w:val="hybridMultilevel"/>
    <w:tmpl w:val="6E400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BF20D5"/>
    <w:multiLevelType w:val="hybridMultilevel"/>
    <w:tmpl w:val="7F5430E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23570C"/>
    <w:multiLevelType w:val="hybridMultilevel"/>
    <w:tmpl w:val="A2CE6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62C71"/>
    <w:multiLevelType w:val="hybridMultilevel"/>
    <w:tmpl w:val="2A0A1FDE"/>
    <w:lvl w:ilvl="0" w:tplc="4F4EB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40265F"/>
    <w:multiLevelType w:val="hybridMultilevel"/>
    <w:tmpl w:val="AD08B60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6A6FE8"/>
    <w:multiLevelType w:val="hybridMultilevel"/>
    <w:tmpl w:val="ECE0CB02"/>
    <w:lvl w:ilvl="0" w:tplc="04090001">
      <w:start w:val="1"/>
      <w:numFmt w:val="bullet"/>
      <w:lvlText w:val=""/>
      <w:lvlJc w:val="left"/>
      <w:pPr>
        <w:tabs>
          <w:tab w:val="num" w:pos="720"/>
        </w:tabs>
        <w:ind w:left="720" w:hanging="360"/>
      </w:pPr>
      <w:rPr>
        <w:rFonts w:ascii="Symbol" w:hAnsi="Symbol" w:hint="default"/>
      </w:rPr>
    </w:lvl>
    <w:lvl w:ilvl="1" w:tplc="5204EE26" w:tentative="1">
      <w:start w:val="1"/>
      <w:numFmt w:val="bullet"/>
      <w:lvlText w:val="•"/>
      <w:lvlJc w:val="left"/>
      <w:pPr>
        <w:tabs>
          <w:tab w:val="num" w:pos="1440"/>
        </w:tabs>
        <w:ind w:left="1440" w:hanging="360"/>
      </w:pPr>
      <w:rPr>
        <w:rFonts w:ascii="Times New Roman" w:hAnsi="Times New Roman" w:hint="default"/>
      </w:rPr>
    </w:lvl>
    <w:lvl w:ilvl="2" w:tplc="B5309AFE" w:tentative="1">
      <w:start w:val="1"/>
      <w:numFmt w:val="bullet"/>
      <w:lvlText w:val="•"/>
      <w:lvlJc w:val="left"/>
      <w:pPr>
        <w:tabs>
          <w:tab w:val="num" w:pos="2160"/>
        </w:tabs>
        <w:ind w:left="2160" w:hanging="360"/>
      </w:pPr>
      <w:rPr>
        <w:rFonts w:ascii="Times New Roman" w:hAnsi="Times New Roman" w:hint="default"/>
      </w:rPr>
    </w:lvl>
    <w:lvl w:ilvl="3" w:tplc="ADCE588E" w:tentative="1">
      <w:start w:val="1"/>
      <w:numFmt w:val="bullet"/>
      <w:lvlText w:val="•"/>
      <w:lvlJc w:val="left"/>
      <w:pPr>
        <w:tabs>
          <w:tab w:val="num" w:pos="2880"/>
        </w:tabs>
        <w:ind w:left="2880" w:hanging="360"/>
      </w:pPr>
      <w:rPr>
        <w:rFonts w:ascii="Times New Roman" w:hAnsi="Times New Roman" w:hint="default"/>
      </w:rPr>
    </w:lvl>
    <w:lvl w:ilvl="4" w:tplc="A7D87EF8" w:tentative="1">
      <w:start w:val="1"/>
      <w:numFmt w:val="bullet"/>
      <w:lvlText w:val="•"/>
      <w:lvlJc w:val="left"/>
      <w:pPr>
        <w:tabs>
          <w:tab w:val="num" w:pos="3600"/>
        </w:tabs>
        <w:ind w:left="3600" w:hanging="360"/>
      </w:pPr>
      <w:rPr>
        <w:rFonts w:ascii="Times New Roman" w:hAnsi="Times New Roman" w:hint="default"/>
      </w:rPr>
    </w:lvl>
    <w:lvl w:ilvl="5" w:tplc="6CE64EF2" w:tentative="1">
      <w:start w:val="1"/>
      <w:numFmt w:val="bullet"/>
      <w:lvlText w:val="•"/>
      <w:lvlJc w:val="left"/>
      <w:pPr>
        <w:tabs>
          <w:tab w:val="num" w:pos="4320"/>
        </w:tabs>
        <w:ind w:left="4320" w:hanging="360"/>
      </w:pPr>
      <w:rPr>
        <w:rFonts w:ascii="Times New Roman" w:hAnsi="Times New Roman" w:hint="default"/>
      </w:rPr>
    </w:lvl>
    <w:lvl w:ilvl="6" w:tplc="F2A8D78A" w:tentative="1">
      <w:start w:val="1"/>
      <w:numFmt w:val="bullet"/>
      <w:lvlText w:val="•"/>
      <w:lvlJc w:val="left"/>
      <w:pPr>
        <w:tabs>
          <w:tab w:val="num" w:pos="5040"/>
        </w:tabs>
        <w:ind w:left="5040" w:hanging="360"/>
      </w:pPr>
      <w:rPr>
        <w:rFonts w:ascii="Times New Roman" w:hAnsi="Times New Roman" w:hint="default"/>
      </w:rPr>
    </w:lvl>
    <w:lvl w:ilvl="7" w:tplc="76FC45D4" w:tentative="1">
      <w:start w:val="1"/>
      <w:numFmt w:val="bullet"/>
      <w:lvlText w:val="•"/>
      <w:lvlJc w:val="left"/>
      <w:pPr>
        <w:tabs>
          <w:tab w:val="num" w:pos="5760"/>
        </w:tabs>
        <w:ind w:left="5760" w:hanging="360"/>
      </w:pPr>
      <w:rPr>
        <w:rFonts w:ascii="Times New Roman" w:hAnsi="Times New Roman" w:hint="default"/>
      </w:rPr>
    </w:lvl>
    <w:lvl w:ilvl="8" w:tplc="4BAA26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3074CFA"/>
    <w:multiLevelType w:val="hybridMultilevel"/>
    <w:tmpl w:val="22D0E5FE"/>
    <w:lvl w:ilvl="0" w:tplc="04070001">
      <w:start w:val="1"/>
      <w:numFmt w:val="bullet"/>
      <w:lvlText w:val=""/>
      <w:lvlJc w:val="left"/>
      <w:pPr>
        <w:ind w:left="899" w:hanging="360"/>
      </w:pPr>
      <w:rPr>
        <w:rFonts w:ascii="Symbol" w:hAnsi="Symbo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21">
    <w:nsid w:val="358436E8"/>
    <w:multiLevelType w:val="hybridMultilevel"/>
    <w:tmpl w:val="658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41FEB"/>
    <w:multiLevelType w:val="multilevel"/>
    <w:tmpl w:val="0E0680C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8426FA4"/>
    <w:multiLevelType w:val="hybridMultilevel"/>
    <w:tmpl w:val="3346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C478C"/>
    <w:multiLevelType w:val="hybridMultilevel"/>
    <w:tmpl w:val="366AEA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9233CC"/>
    <w:multiLevelType w:val="hybridMultilevel"/>
    <w:tmpl w:val="90E2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D8"/>
    <w:multiLevelType w:val="hybridMultilevel"/>
    <w:tmpl w:val="BAC0C88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2592A"/>
    <w:multiLevelType w:val="hybridMultilevel"/>
    <w:tmpl w:val="B344E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034AFC"/>
    <w:multiLevelType w:val="hybridMultilevel"/>
    <w:tmpl w:val="CAF840E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nsid w:val="514E6C8B"/>
    <w:multiLevelType w:val="hybridMultilevel"/>
    <w:tmpl w:val="7D48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57AA1"/>
    <w:multiLevelType w:val="hybridMultilevel"/>
    <w:tmpl w:val="9B76681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817805"/>
    <w:multiLevelType w:val="hybridMultilevel"/>
    <w:tmpl w:val="B51A2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A76F1"/>
    <w:multiLevelType w:val="hybridMultilevel"/>
    <w:tmpl w:val="B04830B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283CFC"/>
    <w:multiLevelType w:val="hybridMultilevel"/>
    <w:tmpl w:val="811E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309DA"/>
    <w:multiLevelType w:val="hybridMultilevel"/>
    <w:tmpl w:val="59D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430A7"/>
    <w:multiLevelType w:val="hybridMultilevel"/>
    <w:tmpl w:val="577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471A2"/>
    <w:multiLevelType w:val="hybridMultilevel"/>
    <w:tmpl w:val="E2C0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C614B9"/>
    <w:multiLevelType w:val="hybridMultilevel"/>
    <w:tmpl w:val="81F0637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8">
    <w:nsid w:val="7C580361"/>
    <w:multiLevelType w:val="hybridMultilevel"/>
    <w:tmpl w:val="84845D3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4B3937"/>
    <w:multiLevelType w:val="hybridMultilevel"/>
    <w:tmpl w:val="192C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5"/>
  </w:num>
  <w:num w:numId="3">
    <w:abstractNumId w:val="19"/>
  </w:num>
  <w:num w:numId="4">
    <w:abstractNumId w:val="18"/>
  </w:num>
  <w:num w:numId="5">
    <w:abstractNumId w:val="15"/>
  </w:num>
  <w:num w:numId="6">
    <w:abstractNumId w:val="6"/>
  </w:num>
  <w:num w:numId="7">
    <w:abstractNumId w:val="30"/>
  </w:num>
  <w:num w:numId="8">
    <w:abstractNumId w:val="32"/>
  </w:num>
  <w:num w:numId="9">
    <w:abstractNumId w:val="38"/>
  </w:num>
  <w:num w:numId="10">
    <w:abstractNumId w:val="26"/>
  </w:num>
  <w:num w:numId="11">
    <w:abstractNumId w:val="9"/>
  </w:num>
  <w:num w:numId="12">
    <w:abstractNumId w:val="31"/>
  </w:num>
  <w:num w:numId="13">
    <w:abstractNumId w:val="3"/>
  </w:num>
  <w:num w:numId="14">
    <w:abstractNumId w:val="24"/>
  </w:num>
  <w:num w:numId="15">
    <w:abstractNumId w:val="16"/>
  </w:num>
  <w:num w:numId="16">
    <w:abstractNumId w:val="1"/>
  </w:num>
  <w:num w:numId="17">
    <w:abstractNumId w:val="14"/>
  </w:num>
  <w:num w:numId="18">
    <w:abstractNumId w:val="10"/>
  </w:num>
  <w:num w:numId="19">
    <w:abstractNumId w:val="11"/>
  </w:num>
  <w:num w:numId="20">
    <w:abstractNumId w:val="21"/>
  </w:num>
  <w:num w:numId="21">
    <w:abstractNumId w:val="4"/>
  </w:num>
  <w:num w:numId="22">
    <w:abstractNumId w:val="34"/>
  </w:num>
  <w:num w:numId="23">
    <w:abstractNumId w:val="0"/>
  </w:num>
  <w:num w:numId="24">
    <w:abstractNumId w:val="5"/>
  </w:num>
  <w:num w:numId="25">
    <w:abstractNumId w:val="28"/>
  </w:num>
  <w:num w:numId="26">
    <w:abstractNumId w:val="37"/>
  </w:num>
  <w:num w:numId="27">
    <w:abstractNumId w:val="20"/>
  </w:num>
  <w:num w:numId="28">
    <w:abstractNumId w:val="36"/>
  </w:num>
  <w:num w:numId="29">
    <w:abstractNumId w:val="8"/>
  </w:num>
  <w:num w:numId="30">
    <w:abstractNumId w:val="22"/>
  </w:num>
  <w:num w:numId="31">
    <w:abstractNumId w:val="17"/>
  </w:num>
  <w:num w:numId="32">
    <w:abstractNumId w:val="2"/>
  </w:num>
  <w:num w:numId="33">
    <w:abstractNumId w:val="23"/>
  </w:num>
  <w:num w:numId="34">
    <w:abstractNumId w:val="7"/>
  </w:num>
  <w:num w:numId="35">
    <w:abstractNumId w:val="27"/>
  </w:num>
  <w:num w:numId="36">
    <w:abstractNumId w:val="13"/>
  </w:num>
  <w:num w:numId="37">
    <w:abstractNumId w:val="39"/>
  </w:num>
  <w:num w:numId="38">
    <w:abstractNumId w:val="33"/>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2E"/>
    <w:rsid w:val="00006B6B"/>
    <w:rsid w:val="000165A4"/>
    <w:rsid w:val="000623D9"/>
    <w:rsid w:val="0008503C"/>
    <w:rsid w:val="000C5D6B"/>
    <w:rsid w:val="000D3F26"/>
    <w:rsid w:val="000D6A2E"/>
    <w:rsid w:val="000E4419"/>
    <w:rsid w:val="000F2B88"/>
    <w:rsid w:val="00160E26"/>
    <w:rsid w:val="00164187"/>
    <w:rsid w:val="001859F4"/>
    <w:rsid w:val="001A057F"/>
    <w:rsid w:val="001E4864"/>
    <w:rsid w:val="00216034"/>
    <w:rsid w:val="00267E51"/>
    <w:rsid w:val="00296086"/>
    <w:rsid w:val="002B35BA"/>
    <w:rsid w:val="003120B9"/>
    <w:rsid w:val="00325D10"/>
    <w:rsid w:val="00343493"/>
    <w:rsid w:val="00362AAD"/>
    <w:rsid w:val="003818E5"/>
    <w:rsid w:val="00391334"/>
    <w:rsid w:val="003B1279"/>
    <w:rsid w:val="003D6AB9"/>
    <w:rsid w:val="004040C1"/>
    <w:rsid w:val="00404B5F"/>
    <w:rsid w:val="00464410"/>
    <w:rsid w:val="0047351E"/>
    <w:rsid w:val="00474E13"/>
    <w:rsid w:val="00487EBC"/>
    <w:rsid w:val="004B11F6"/>
    <w:rsid w:val="004B1CB5"/>
    <w:rsid w:val="004F6BB2"/>
    <w:rsid w:val="00526673"/>
    <w:rsid w:val="00540C57"/>
    <w:rsid w:val="005605BF"/>
    <w:rsid w:val="00586A9A"/>
    <w:rsid w:val="005A1339"/>
    <w:rsid w:val="00645A18"/>
    <w:rsid w:val="00685F92"/>
    <w:rsid w:val="006916FC"/>
    <w:rsid w:val="00700BED"/>
    <w:rsid w:val="0070643D"/>
    <w:rsid w:val="00732C72"/>
    <w:rsid w:val="007A49D4"/>
    <w:rsid w:val="007A51A5"/>
    <w:rsid w:val="007F4EDF"/>
    <w:rsid w:val="008438EF"/>
    <w:rsid w:val="00871325"/>
    <w:rsid w:val="008A1942"/>
    <w:rsid w:val="008A7E29"/>
    <w:rsid w:val="008B4D4B"/>
    <w:rsid w:val="00900655"/>
    <w:rsid w:val="00902A18"/>
    <w:rsid w:val="00907B3C"/>
    <w:rsid w:val="00910A26"/>
    <w:rsid w:val="009A5196"/>
    <w:rsid w:val="009B55FC"/>
    <w:rsid w:val="009D3389"/>
    <w:rsid w:val="00A52B35"/>
    <w:rsid w:val="00A54CC7"/>
    <w:rsid w:val="00A8755F"/>
    <w:rsid w:val="00AB44E4"/>
    <w:rsid w:val="00AC06AD"/>
    <w:rsid w:val="00AE2E9C"/>
    <w:rsid w:val="00AF1CEC"/>
    <w:rsid w:val="00AF6CA3"/>
    <w:rsid w:val="00B009D2"/>
    <w:rsid w:val="00B24C68"/>
    <w:rsid w:val="00B30930"/>
    <w:rsid w:val="00B34EBC"/>
    <w:rsid w:val="00B46349"/>
    <w:rsid w:val="00B552DA"/>
    <w:rsid w:val="00B86B1F"/>
    <w:rsid w:val="00B87FF5"/>
    <w:rsid w:val="00B9774C"/>
    <w:rsid w:val="00BB521F"/>
    <w:rsid w:val="00BD3EFE"/>
    <w:rsid w:val="00C15E20"/>
    <w:rsid w:val="00C269DB"/>
    <w:rsid w:val="00C33C84"/>
    <w:rsid w:val="00CB22F6"/>
    <w:rsid w:val="00D00EF4"/>
    <w:rsid w:val="00D60CBF"/>
    <w:rsid w:val="00D64F9C"/>
    <w:rsid w:val="00D84C5F"/>
    <w:rsid w:val="00D90C51"/>
    <w:rsid w:val="00DC462C"/>
    <w:rsid w:val="00DE5FB3"/>
    <w:rsid w:val="00E46399"/>
    <w:rsid w:val="00E75372"/>
    <w:rsid w:val="00E91FDB"/>
    <w:rsid w:val="00EE0F6C"/>
    <w:rsid w:val="00EE46BD"/>
    <w:rsid w:val="00F11129"/>
    <w:rsid w:val="00F231DC"/>
    <w:rsid w:val="00F44296"/>
    <w:rsid w:val="00F47702"/>
    <w:rsid w:val="00F6607E"/>
    <w:rsid w:val="00FB23A8"/>
    <w:rsid w:val="00FB584B"/>
    <w:rsid w:val="00FB58D4"/>
    <w:rsid w:val="00FC68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B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4C"/>
    <w:pPr>
      <w:keepNext/>
      <w:keepLines/>
      <w:spacing w:before="480"/>
      <w:jc w:val="both"/>
      <w:outlineLvl w:val="0"/>
    </w:pPr>
    <w:rPr>
      <w:rFonts w:ascii="Didot" w:eastAsiaTheme="majorEastAsia" w:hAnsi="Didot" w:cs="Didot"/>
      <w:b/>
      <w:bCs/>
      <w:sz w:val="56"/>
      <w:szCs w:val="56"/>
      <w:lang w:val="en-US"/>
    </w:rPr>
  </w:style>
  <w:style w:type="paragraph" w:styleId="Heading2">
    <w:name w:val="heading 2"/>
    <w:basedOn w:val="Normal"/>
    <w:next w:val="Normal"/>
    <w:link w:val="Heading2Char"/>
    <w:uiPriority w:val="9"/>
    <w:unhideWhenUsed/>
    <w:qFormat/>
    <w:rsid w:val="00540C5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ED"/>
    <w:pPr>
      <w:ind w:left="720"/>
      <w:contextualSpacing/>
    </w:pPr>
    <w:rPr>
      <w:rFonts w:ascii="Times New Roman" w:eastAsia="Times New Roman" w:hAnsi="Times New Roman" w:cs="Times New Roman"/>
      <w:lang w:val="en-US"/>
    </w:rPr>
  </w:style>
  <w:style w:type="table" w:styleId="TableGrid">
    <w:name w:val="Table Grid"/>
    <w:basedOn w:val="TableNormal"/>
    <w:uiPriority w:val="59"/>
    <w:rsid w:val="00700BE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552DA"/>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552D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552DA"/>
    <w:rPr>
      <w:vertAlign w:val="superscript"/>
    </w:rPr>
  </w:style>
  <w:style w:type="paragraph" w:styleId="NormalIndent">
    <w:name w:val="Normal Indent"/>
    <w:basedOn w:val="Normal"/>
    <w:autoRedefine/>
    <w:semiHidden/>
    <w:rsid w:val="00B552DA"/>
    <w:pPr>
      <w:spacing w:after="120" w:line="360" w:lineRule="auto"/>
      <w:ind w:firstLine="720"/>
      <w:jc w:val="both"/>
    </w:pPr>
    <w:rPr>
      <w:rFonts w:ascii="Times New Roman" w:eastAsia="Calibri" w:hAnsi="Times New Roman" w:cs="Times New Roman"/>
      <w:noProof/>
      <w:szCs w:val="22"/>
      <w:lang w:val="en-US"/>
    </w:rPr>
  </w:style>
  <w:style w:type="character" w:styleId="Hyperlink">
    <w:name w:val="Hyperlink"/>
    <w:basedOn w:val="DefaultParagraphFont"/>
    <w:uiPriority w:val="99"/>
    <w:unhideWhenUsed/>
    <w:rsid w:val="00B552DA"/>
    <w:rPr>
      <w:color w:val="0000FF" w:themeColor="hyperlink"/>
      <w:u w:val="single"/>
    </w:rPr>
  </w:style>
  <w:style w:type="paragraph" w:styleId="BalloonText">
    <w:name w:val="Balloon Text"/>
    <w:basedOn w:val="Normal"/>
    <w:link w:val="BalloonTextChar"/>
    <w:uiPriority w:val="99"/>
    <w:semiHidden/>
    <w:unhideWhenUsed/>
    <w:rsid w:val="00B55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2DA"/>
    <w:rPr>
      <w:rFonts w:ascii="Lucida Grande" w:hAnsi="Lucida Grande" w:cs="Lucida Grande"/>
      <w:sz w:val="18"/>
      <w:szCs w:val="18"/>
    </w:rPr>
  </w:style>
  <w:style w:type="paragraph" w:customStyle="1" w:styleId="ParaAttribute0">
    <w:name w:val="ParaAttribute0"/>
    <w:rsid w:val="00540C57"/>
    <w:pPr>
      <w:wordWrap w:val="0"/>
    </w:pPr>
    <w:rPr>
      <w:rFonts w:ascii="Times New Roman" w:eastAsia="Batang" w:hAnsi="Times New Roman" w:cs="Times New Roman"/>
      <w:sz w:val="20"/>
      <w:szCs w:val="20"/>
      <w:lang w:val="en-US"/>
    </w:rPr>
  </w:style>
  <w:style w:type="character" w:customStyle="1" w:styleId="CharAttribute3">
    <w:name w:val="CharAttribute3"/>
    <w:rsid w:val="00540C57"/>
    <w:rPr>
      <w:rFonts w:ascii="Times New Roman" w:eastAsia="Times New Roman"/>
      <w:sz w:val="24"/>
    </w:rPr>
  </w:style>
  <w:style w:type="paragraph" w:customStyle="1" w:styleId="ParaAttribute5">
    <w:name w:val="ParaAttribute5"/>
    <w:rsid w:val="00540C57"/>
    <w:pPr>
      <w:widowControl w:val="0"/>
      <w:wordWrap w:val="0"/>
    </w:pPr>
    <w:rPr>
      <w:rFonts w:ascii="Times New Roman" w:eastAsia="Batang" w:hAnsi="Times New Roman" w:cs="Times New Roman"/>
      <w:sz w:val="20"/>
      <w:szCs w:val="20"/>
      <w:lang w:val="en-US"/>
    </w:rPr>
  </w:style>
  <w:style w:type="character" w:customStyle="1" w:styleId="CharAttribute17">
    <w:name w:val="CharAttribute17"/>
    <w:rsid w:val="00540C57"/>
    <w:rPr>
      <w:rFonts w:ascii="Times New Roman" w:eastAsia="Times New Roman"/>
      <w:color w:val="1A1A1A"/>
      <w:sz w:val="24"/>
    </w:rPr>
  </w:style>
  <w:style w:type="character" w:customStyle="1" w:styleId="CharAttribute19">
    <w:name w:val="CharAttribute19"/>
    <w:rsid w:val="00540C57"/>
    <w:rPr>
      <w:rFonts w:ascii="Times New Roman" w:eastAsia="Times New Roman"/>
      <w:i/>
      <w:color w:val="1A1A1A"/>
      <w:sz w:val="24"/>
    </w:rPr>
  </w:style>
  <w:style w:type="character" w:styleId="CommentReference">
    <w:name w:val="annotation reference"/>
    <w:basedOn w:val="DefaultParagraphFont"/>
    <w:uiPriority w:val="99"/>
    <w:semiHidden/>
    <w:unhideWhenUsed/>
    <w:rsid w:val="00540C57"/>
    <w:rPr>
      <w:sz w:val="16"/>
      <w:szCs w:val="16"/>
    </w:rPr>
  </w:style>
  <w:style w:type="paragraph" w:styleId="CommentText">
    <w:name w:val="annotation text"/>
    <w:basedOn w:val="Normal"/>
    <w:link w:val="CommentTextChar"/>
    <w:uiPriority w:val="99"/>
    <w:semiHidden/>
    <w:unhideWhenUsed/>
    <w:rsid w:val="00540C57"/>
    <w:pPr>
      <w:spacing w:after="200"/>
    </w:pPr>
    <w:rPr>
      <w:sz w:val="20"/>
      <w:szCs w:val="20"/>
      <w:lang w:val="de-CH" w:eastAsia="zh-CN"/>
    </w:rPr>
  </w:style>
  <w:style w:type="character" w:customStyle="1" w:styleId="CommentTextChar">
    <w:name w:val="Comment Text Char"/>
    <w:basedOn w:val="DefaultParagraphFont"/>
    <w:link w:val="CommentText"/>
    <w:uiPriority w:val="99"/>
    <w:semiHidden/>
    <w:rsid w:val="00540C57"/>
    <w:rPr>
      <w:sz w:val="20"/>
      <w:szCs w:val="20"/>
      <w:lang w:val="de-CH" w:eastAsia="zh-CN"/>
    </w:rPr>
  </w:style>
  <w:style w:type="paragraph" w:styleId="EndnoteText">
    <w:name w:val="endnote text"/>
    <w:basedOn w:val="Normal"/>
    <w:link w:val="EndnoteTextChar"/>
    <w:uiPriority w:val="99"/>
    <w:unhideWhenUsed/>
    <w:rsid w:val="00540C57"/>
    <w:rPr>
      <w:sz w:val="20"/>
      <w:szCs w:val="20"/>
      <w:lang w:val="de-CH" w:eastAsia="zh-CN"/>
    </w:rPr>
  </w:style>
  <w:style w:type="character" w:customStyle="1" w:styleId="EndnoteTextChar">
    <w:name w:val="Endnote Text Char"/>
    <w:basedOn w:val="DefaultParagraphFont"/>
    <w:link w:val="EndnoteText"/>
    <w:uiPriority w:val="99"/>
    <w:rsid w:val="00540C57"/>
    <w:rPr>
      <w:sz w:val="20"/>
      <w:szCs w:val="20"/>
      <w:lang w:val="de-CH" w:eastAsia="zh-CN"/>
    </w:rPr>
  </w:style>
  <w:style w:type="character" w:styleId="EndnoteReference">
    <w:name w:val="endnote reference"/>
    <w:basedOn w:val="DefaultParagraphFont"/>
    <w:unhideWhenUsed/>
    <w:rsid w:val="00540C57"/>
    <w:rPr>
      <w:vertAlign w:val="superscript"/>
    </w:rPr>
  </w:style>
  <w:style w:type="character" w:customStyle="1" w:styleId="grameenbold1">
    <w:name w:val="grameen_bold1"/>
    <w:basedOn w:val="DefaultParagraphFont"/>
    <w:rsid w:val="00540C57"/>
    <w:rPr>
      <w:rFonts w:ascii="Trebuchet MS" w:hAnsi="Trebuchet MS" w:hint="default"/>
      <w:b/>
      <w:bCs/>
      <w:color w:val="268132"/>
      <w:sz w:val="29"/>
      <w:szCs w:val="29"/>
    </w:rPr>
  </w:style>
  <w:style w:type="character" w:customStyle="1" w:styleId="Heading1Char">
    <w:name w:val="Heading 1 Char"/>
    <w:basedOn w:val="DefaultParagraphFont"/>
    <w:link w:val="Heading1"/>
    <w:uiPriority w:val="9"/>
    <w:rsid w:val="00B9774C"/>
    <w:rPr>
      <w:rFonts w:ascii="Didot" w:eastAsiaTheme="majorEastAsia" w:hAnsi="Didot" w:cs="Didot"/>
      <w:b/>
      <w:bCs/>
      <w:sz w:val="56"/>
      <w:szCs w:val="56"/>
      <w:lang w:val="en-US"/>
    </w:rPr>
  </w:style>
  <w:style w:type="character" w:customStyle="1" w:styleId="Heading2Char">
    <w:name w:val="Heading 2 Char"/>
    <w:basedOn w:val="DefaultParagraphFont"/>
    <w:link w:val="Heading2"/>
    <w:uiPriority w:val="9"/>
    <w:rsid w:val="00540C5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540C57"/>
    <w:pPr>
      <w:widowControl w:val="0"/>
      <w:autoSpaceDE w:val="0"/>
      <w:autoSpaceDN w:val="0"/>
      <w:adjustRightInd w:val="0"/>
    </w:pPr>
    <w:rPr>
      <w:rFonts w:ascii="Calibri" w:hAnsi="Calibri" w:cs="Calibri"/>
      <w:color w:val="000000"/>
      <w:lang w:val="en-US"/>
    </w:rPr>
  </w:style>
  <w:style w:type="paragraph" w:styleId="Title">
    <w:name w:val="Title"/>
    <w:basedOn w:val="Normal"/>
    <w:next w:val="Normal"/>
    <w:link w:val="TitleChar"/>
    <w:uiPriority w:val="10"/>
    <w:qFormat/>
    <w:rsid w:val="00540C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540C57"/>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nhideWhenUsed/>
    <w:rsid w:val="00540C57"/>
    <w:pPr>
      <w:spacing w:before="100" w:beforeAutospacing="1" w:after="100" w:afterAutospacing="1"/>
    </w:pPr>
    <w:rPr>
      <w:rFonts w:ascii="Times" w:hAnsi="Times" w:cs="Times New Roman"/>
      <w:sz w:val="20"/>
      <w:szCs w:val="20"/>
      <w:lang w:val="en-US"/>
    </w:rPr>
  </w:style>
  <w:style w:type="paragraph" w:styleId="BodyText">
    <w:name w:val="Body Text"/>
    <w:basedOn w:val="Normal"/>
    <w:link w:val="BodyTextChar"/>
    <w:rsid w:val="00540C57"/>
    <w:pPr>
      <w:widowControl w:val="0"/>
      <w:suppressAutoHyphens/>
    </w:pPr>
    <w:rPr>
      <w:rFonts w:ascii="Garamond" w:eastAsia="Garamond" w:hAnsi="Garamond" w:cs="Times New Roman"/>
      <w:lang w:val="en-US" w:eastAsia="ja-JP"/>
    </w:rPr>
  </w:style>
  <w:style w:type="character" w:customStyle="1" w:styleId="BodyTextChar">
    <w:name w:val="Body Text Char"/>
    <w:basedOn w:val="DefaultParagraphFont"/>
    <w:link w:val="BodyText"/>
    <w:rsid w:val="00540C57"/>
    <w:rPr>
      <w:rFonts w:ascii="Garamond" w:eastAsia="Garamond" w:hAnsi="Garamond" w:cs="Times New Roman"/>
      <w:lang w:val="en-US" w:eastAsia="ja-JP"/>
    </w:rPr>
  </w:style>
  <w:style w:type="paragraph" w:styleId="Header">
    <w:name w:val="header"/>
    <w:basedOn w:val="Normal"/>
    <w:link w:val="HeaderChar"/>
    <w:uiPriority w:val="99"/>
    <w:unhideWhenUsed/>
    <w:rsid w:val="00006B6B"/>
    <w:pPr>
      <w:tabs>
        <w:tab w:val="center" w:pos="4513"/>
        <w:tab w:val="right" w:pos="9026"/>
      </w:tabs>
    </w:pPr>
  </w:style>
  <w:style w:type="character" w:customStyle="1" w:styleId="HeaderChar">
    <w:name w:val="Header Char"/>
    <w:basedOn w:val="DefaultParagraphFont"/>
    <w:link w:val="Header"/>
    <w:uiPriority w:val="99"/>
    <w:rsid w:val="00006B6B"/>
  </w:style>
  <w:style w:type="paragraph" w:styleId="Footer">
    <w:name w:val="footer"/>
    <w:basedOn w:val="Normal"/>
    <w:link w:val="FooterChar"/>
    <w:uiPriority w:val="99"/>
    <w:unhideWhenUsed/>
    <w:rsid w:val="00006B6B"/>
    <w:pPr>
      <w:tabs>
        <w:tab w:val="center" w:pos="4513"/>
        <w:tab w:val="right" w:pos="9026"/>
      </w:tabs>
    </w:pPr>
  </w:style>
  <w:style w:type="character" w:customStyle="1" w:styleId="FooterChar">
    <w:name w:val="Footer Char"/>
    <w:basedOn w:val="DefaultParagraphFont"/>
    <w:link w:val="Footer"/>
    <w:uiPriority w:val="99"/>
    <w:rsid w:val="00006B6B"/>
  </w:style>
  <w:style w:type="paragraph" w:styleId="CommentSubject">
    <w:name w:val="annotation subject"/>
    <w:basedOn w:val="CommentText"/>
    <w:next w:val="CommentText"/>
    <w:link w:val="CommentSubjectChar"/>
    <w:uiPriority w:val="99"/>
    <w:semiHidden/>
    <w:unhideWhenUsed/>
    <w:rsid w:val="002B35BA"/>
    <w:pPr>
      <w:spacing w:after="0"/>
    </w:pPr>
    <w:rPr>
      <w:b/>
      <w:bCs/>
      <w:lang w:val="sv-SE" w:eastAsia="en-US"/>
    </w:rPr>
  </w:style>
  <w:style w:type="character" w:customStyle="1" w:styleId="CommentSubjectChar">
    <w:name w:val="Comment Subject Char"/>
    <w:basedOn w:val="CommentTextChar"/>
    <w:link w:val="CommentSubject"/>
    <w:uiPriority w:val="99"/>
    <w:semiHidden/>
    <w:rsid w:val="002B35BA"/>
    <w:rPr>
      <w:b/>
      <w:bCs/>
      <w:sz w:val="20"/>
      <w:szCs w:val="20"/>
      <w:lang w:val="de-CH" w:eastAsia="zh-CN"/>
    </w:rPr>
  </w:style>
  <w:style w:type="character" w:styleId="PageNumber">
    <w:name w:val="page number"/>
    <w:basedOn w:val="DefaultParagraphFont"/>
    <w:uiPriority w:val="99"/>
    <w:semiHidden/>
    <w:unhideWhenUsed/>
    <w:rsid w:val="00160E26"/>
  </w:style>
  <w:style w:type="paragraph" w:styleId="TOCHeading">
    <w:name w:val="TOC Heading"/>
    <w:basedOn w:val="Heading1"/>
    <w:next w:val="Normal"/>
    <w:uiPriority w:val="39"/>
    <w:unhideWhenUsed/>
    <w:qFormat/>
    <w:rsid w:val="00AB44E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B44E4"/>
    <w:pPr>
      <w:spacing w:before="120"/>
    </w:pPr>
    <w:rPr>
      <w:b/>
      <w:caps/>
      <w:sz w:val="22"/>
      <w:szCs w:val="22"/>
    </w:rPr>
  </w:style>
  <w:style w:type="paragraph" w:styleId="TOC2">
    <w:name w:val="toc 2"/>
    <w:basedOn w:val="Normal"/>
    <w:next w:val="Normal"/>
    <w:autoRedefine/>
    <w:uiPriority w:val="39"/>
    <w:unhideWhenUsed/>
    <w:rsid w:val="00AB44E4"/>
    <w:pPr>
      <w:ind w:left="240"/>
    </w:pPr>
    <w:rPr>
      <w:smallCaps/>
      <w:sz w:val="22"/>
      <w:szCs w:val="22"/>
    </w:rPr>
  </w:style>
  <w:style w:type="paragraph" w:styleId="TOC3">
    <w:name w:val="toc 3"/>
    <w:basedOn w:val="Normal"/>
    <w:next w:val="Normal"/>
    <w:autoRedefine/>
    <w:uiPriority w:val="39"/>
    <w:semiHidden/>
    <w:unhideWhenUsed/>
    <w:rsid w:val="00AB44E4"/>
    <w:pPr>
      <w:ind w:left="480"/>
    </w:pPr>
    <w:rPr>
      <w:i/>
      <w:sz w:val="22"/>
      <w:szCs w:val="22"/>
    </w:rPr>
  </w:style>
  <w:style w:type="paragraph" w:styleId="TOC4">
    <w:name w:val="toc 4"/>
    <w:basedOn w:val="Normal"/>
    <w:next w:val="Normal"/>
    <w:autoRedefine/>
    <w:uiPriority w:val="39"/>
    <w:semiHidden/>
    <w:unhideWhenUsed/>
    <w:rsid w:val="00AB44E4"/>
    <w:pPr>
      <w:ind w:left="720"/>
    </w:pPr>
    <w:rPr>
      <w:sz w:val="18"/>
      <w:szCs w:val="18"/>
    </w:rPr>
  </w:style>
  <w:style w:type="paragraph" w:styleId="TOC5">
    <w:name w:val="toc 5"/>
    <w:basedOn w:val="Normal"/>
    <w:next w:val="Normal"/>
    <w:autoRedefine/>
    <w:uiPriority w:val="39"/>
    <w:semiHidden/>
    <w:unhideWhenUsed/>
    <w:rsid w:val="00AB44E4"/>
    <w:pPr>
      <w:ind w:left="960"/>
    </w:pPr>
    <w:rPr>
      <w:sz w:val="18"/>
      <w:szCs w:val="18"/>
    </w:rPr>
  </w:style>
  <w:style w:type="paragraph" w:styleId="TOC6">
    <w:name w:val="toc 6"/>
    <w:basedOn w:val="Normal"/>
    <w:next w:val="Normal"/>
    <w:autoRedefine/>
    <w:uiPriority w:val="39"/>
    <w:semiHidden/>
    <w:unhideWhenUsed/>
    <w:rsid w:val="00AB44E4"/>
    <w:pPr>
      <w:ind w:left="1200"/>
    </w:pPr>
    <w:rPr>
      <w:sz w:val="18"/>
      <w:szCs w:val="18"/>
    </w:rPr>
  </w:style>
  <w:style w:type="paragraph" w:styleId="TOC7">
    <w:name w:val="toc 7"/>
    <w:basedOn w:val="Normal"/>
    <w:next w:val="Normal"/>
    <w:autoRedefine/>
    <w:uiPriority w:val="39"/>
    <w:semiHidden/>
    <w:unhideWhenUsed/>
    <w:rsid w:val="00AB44E4"/>
    <w:pPr>
      <w:ind w:left="1440"/>
    </w:pPr>
    <w:rPr>
      <w:sz w:val="18"/>
      <w:szCs w:val="18"/>
    </w:rPr>
  </w:style>
  <w:style w:type="paragraph" w:styleId="TOC8">
    <w:name w:val="toc 8"/>
    <w:basedOn w:val="Normal"/>
    <w:next w:val="Normal"/>
    <w:autoRedefine/>
    <w:uiPriority w:val="39"/>
    <w:semiHidden/>
    <w:unhideWhenUsed/>
    <w:rsid w:val="00AB44E4"/>
    <w:pPr>
      <w:ind w:left="1680"/>
    </w:pPr>
    <w:rPr>
      <w:sz w:val="18"/>
      <w:szCs w:val="18"/>
    </w:rPr>
  </w:style>
  <w:style w:type="paragraph" w:styleId="TOC9">
    <w:name w:val="toc 9"/>
    <w:basedOn w:val="Normal"/>
    <w:next w:val="Normal"/>
    <w:autoRedefine/>
    <w:uiPriority w:val="39"/>
    <w:semiHidden/>
    <w:unhideWhenUsed/>
    <w:rsid w:val="00AB44E4"/>
    <w:pPr>
      <w:ind w:left="192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4C"/>
    <w:pPr>
      <w:keepNext/>
      <w:keepLines/>
      <w:spacing w:before="480"/>
      <w:jc w:val="both"/>
      <w:outlineLvl w:val="0"/>
    </w:pPr>
    <w:rPr>
      <w:rFonts w:ascii="Didot" w:eastAsiaTheme="majorEastAsia" w:hAnsi="Didot" w:cs="Didot"/>
      <w:b/>
      <w:bCs/>
      <w:sz w:val="56"/>
      <w:szCs w:val="56"/>
      <w:lang w:val="en-US"/>
    </w:rPr>
  </w:style>
  <w:style w:type="paragraph" w:styleId="Heading2">
    <w:name w:val="heading 2"/>
    <w:basedOn w:val="Normal"/>
    <w:next w:val="Normal"/>
    <w:link w:val="Heading2Char"/>
    <w:uiPriority w:val="9"/>
    <w:unhideWhenUsed/>
    <w:qFormat/>
    <w:rsid w:val="00540C5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ED"/>
    <w:pPr>
      <w:ind w:left="720"/>
      <w:contextualSpacing/>
    </w:pPr>
    <w:rPr>
      <w:rFonts w:ascii="Times New Roman" w:eastAsia="Times New Roman" w:hAnsi="Times New Roman" w:cs="Times New Roman"/>
      <w:lang w:val="en-US"/>
    </w:rPr>
  </w:style>
  <w:style w:type="table" w:styleId="TableGrid">
    <w:name w:val="Table Grid"/>
    <w:basedOn w:val="TableNormal"/>
    <w:uiPriority w:val="59"/>
    <w:rsid w:val="00700BE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552DA"/>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552D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552DA"/>
    <w:rPr>
      <w:vertAlign w:val="superscript"/>
    </w:rPr>
  </w:style>
  <w:style w:type="paragraph" w:styleId="NormalIndent">
    <w:name w:val="Normal Indent"/>
    <w:basedOn w:val="Normal"/>
    <w:autoRedefine/>
    <w:semiHidden/>
    <w:rsid w:val="00B552DA"/>
    <w:pPr>
      <w:spacing w:after="120" w:line="360" w:lineRule="auto"/>
      <w:ind w:firstLine="720"/>
      <w:jc w:val="both"/>
    </w:pPr>
    <w:rPr>
      <w:rFonts w:ascii="Times New Roman" w:eastAsia="Calibri" w:hAnsi="Times New Roman" w:cs="Times New Roman"/>
      <w:noProof/>
      <w:szCs w:val="22"/>
      <w:lang w:val="en-US"/>
    </w:rPr>
  </w:style>
  <w:style w:type="character" w:styleId="Hyperlink">
    <w:name w:val="Hyperlink"/>
    <w:basedOn w:val="DefaultParagraphFont"/>
    <w:uiPriority w:val="99"/>
    <w:unhideWhenUsed/>
    <w:rsid w:val="00B552DA"/>
    <w:rPr>
      <w:color w:val="0000FF" w:themeColor="hyperlink"/>
      <w:u w:val="single"/>
    </w:rPr>
  </w:style>
  <w:style w:type="paragraph" w:styleId="BalloonText">
    <w:name w:val="Balloon Text"/>
    <w:basedOn w:val="Normal"/>
    <w:link w:val="BalloonTextChar"/>
    <w:uiPriority w:val="99"/>
    <w:semiHidden/>
    <w:unhideWhenUsed/>
    <w:rsid w:val="00B55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2DA"/>
    <w:rPr>
      <w:rFonts w:ascii="Lucida Grande" w:hAnsi="Lucida Grande" w:cs="Lucida Grande"/>
      <w:sz w:val="18"/>
      <w:szCs w:val="18"/>
    </w:rPr>
  </w:style>
  <w:style w:type="paragraph" w:customStyle="1" w:styleId="ParaAttribute0">
    <w:name w:val="ParaAttribute0"/>
    <w:rsid w:val="00540C57"/>
    <w:pPr>
      <w:wordWrap w:val="0"/>
    </w:pPr>
    <w:rPr>
      <w:rFonts w:ascii="Times New Roman" w:eastAsia="Batang" w:hAnsi="Times New Roman" w:cs="Times New Roman"/>
      <w:sz w:val="20"/>
      <w:szCs w:val="20"/>
      <w:lang w:val="en-US"/>
    </w:rPr>
  </w:style>
  <w:style w:type="character" w:customStyle="1" w:styleId="CharAttribute3">
    <w:name w:val="CharAttribute3"/>
    <w:rsid w:val="00540C57"/>
    <w:rPr>
      <w:rFonts w:ascii="Times New Roman" w:eastAsia="Times New Roman"/>
      <w:sz w:val="24"/>
    </w:rPr>
  </w:style>
  <w:style w:type="paragraph" w:customStyle="1" w:styleId="ParaAttribute5">
    <w:name w:val="ParaAttribute5"/>
    <w:rsid w:val="00540C57"/>
    <w:pPr>
      <w:widowControl w:val="0"/>
      <w:wordWrap w:val="0"/>
    </w:pPr>
    <w:rPr>
      <w:rFonts w:ascii="Times New Roman" w:eastAsia="Batang" w:hAnsi="Times New Roman" w:cs="Times New Roman"/>
      <w:sz w:val="20"/>
      <w:szCs w:val="20"/>
      <w:lang w:val="en-US"/>
    </w:rPr>
  </w:style>
  <w:style w:type="character" w:customStyle="1" w:styleId="CharAttribute17">
    <w:name w:val="CharAttribute17"/>
    <w:rsid w:val="00540C57"/>
    <w:rPr>
      <w:rFonts w:ascii="Times New Roman" w:eastAsia="Times New Roman"/>
      <w:color w:val="1A1A1A"/>
      <w:sz w:val="24"/>
    </w:rPr>
  </w:style>
  <w:style w:type="character" w:customStyle="1" w:styleId="CharAttribute19">
    <w:name w:val="CharAttribute19"/>
    <w:rsid w:val="00540C57"/>
    <w:rPr>
      <w:rFonts w:ascii="Times New Roman" w:eastAsia="Times New Roman"/>
      <w:i/>
      <w:color w:val="1A1A1A"/>
      <w:sz w:val="24"/>
    </w:rPr>
  </w:style>
  <w:style w:type="character" w:styleId="CommentReference">
    <w:name w:val="annotation reference"/>
    <w:basedOn w:val="DefaultParagraphFont"/>
    <w:uiPriority w:val="99"/>
    <w:semiHidden/>
    <w:unhideWhenUsed/>
    <w:rsid w:val="00540C57"/>
    <w:rPr>
      <w:sz w:val="16"/>
      <w:szCs w:val="16"/>
    </w:rPr>
  </w:style>
  <w:style w:type="paragraph" w:styleId="CommentText">
    <w:name w:val="annotation text"/>
    <w:basedOn w:val="Normal"/>
    <w:link w:val="CommentTextChar"/>
    <w:uiPriority w:val="99"/>
    <w:semiHidden/>
    <w:unhideWhenUsed/>
    <w:rsid w:val="00540C57"/>
    <w:pPr>
      <w:spacing w:after="200"/>
    </w:pPr>
    <w:rPr>
      <w:sz w:val="20"/>
      <w:szCs w:val="20"/>
      <w:lang w:val="de-CH" w:eastAsia="zh-CN"/>
    </w:rPr>
  </w:style>
  <w:style w:type="character" w:customStyle="1" w:styleId="CommentTextChar">
    <w:name w:val="Comment Text Char"/>
    <w:basedOn w:val="DefaultParagraphFont"/>
    <w:link w:val="CommentText"/>
    <w:uiPriority w:val="99"/>
    <w:semiHidden/>
    <w:rsid w:val="00540C57"/>
    <w:rPr>
      <w:sz w:val="20"/>
      <w:szCs w:val="20"/>
      <w:lang w:val="de-CH" w:eastAsia="zh-CN"/>
    </w:rPr>
  </w:style>
  <w:style w:type="paragraph" w:styleId="EndnoteText">
    <w:name w:val="endnote text"/>
    <w:basedOn w:val="Normal"/>
    <w:link w:val="EndnoteTextChar"/>
    <w:uiPriority w:val="99"/>
    <w:unhideWhenUsed/>
    <w:rsid w:val="00540C57"/>
    <w:rPr>
      <w:sz w:val="20"/>
      <w:szCs w:val="20"/>
      <w:lang w:val="de-CH" w:eastAsia="zh-CN"/>
    </w:rPr>
  </w:style>
  <w:style w:type="character" w:customStyle="1" w:styleId="EndnoteTextChar">
    <w:name w:val="Endnote Text Char"/>
    <w:basedOn w:val="DefaultParagraphFont"/>
    <w:link w:val="EndnoteText"/>
    <w:uiPriority w:val="99"/>
    <w:rsid w:val="00540C57"/>
    <w:rPr>
      <w:sz w:val="20"/>
      <w:szCs w:val="20"/>
      <w:lang w:val="de-CH" w:eastAsia="zh-CN"/>
    </w:rPr>
  </w:style>
  <w:style w:type="character" w:styleId="EndnoteReference">
    <w:name w:val="endnote reference"/>
    <w:basedOn w:val="DefaultParagraphFont"/>
    <w:unhideWhenUsed/>
    <w:rsid w:val="00540C57"/>
    <w:rPr>
      <w:vertAlign w:val="superscript"/>
    </w:rPr>
  </w:style>
  <w:style w:type="character" w:customStyle="1" w:styleId="grameenbold1">
    <w:name w:val="grameen_bold1"/>
    <w:basedOn w:val="DefaultParagraphFont"/>
    <w:rsid w:val="00540C57"/>
    <w:rPr>
      <w:rFonts w:ascii="Trebuchet MS" w:hAnsi="Trebuchet MS" w:hint="default"/>
      <w:b/>
      <w:bCs/>
      <w:color w:val="268132"/>
      <w:sz w:val="29"/>
      <w:szCs w:val="29"/>
    </w:rPr>
  </w:style>
  <w:style w:type="character" w:customStyle="1" w:styleId="Heading1Char">
    <w:name w:val="Heading 1 Char"/>
    <w:basedOn w:val="DefaultParagraphFont"/>
    <w:link w:val="Heading1"/>
    <w:uiPriority w:val="9"/>
    <w:rsid w:val="00B9774C"/>
    <w:rPr>
      <w:rFonts w:ascii="Didot" w:eastAsiaTheme="majorEastAsia" w:hAnsi="Didot" w:cs="Didot"/>
      <w:b/>
      <w:bCs/>
      <w:sz w:val="56"/>
      <w:szCs w:val="56"/>
      <w:lang w:val="en-US"/>
    </w:rPr>
  </w:style>
  <w:style w:type="character" w:customStyle="1" w:styleId="Heading2Char">
    <w:name w:val="Heading 2 Char"/>
    <w:basedOn w:val="DefaultParagraphFont"/>
    <w:link w:val="Heading2"/>
    <w:uiPriority w:val="9"/>
    <w:rsid w:val="00540C5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540C57"/>
    <w:pPr>
      <w:widowControl w:val="0"/>
      <w:autoSpaceDE w:val="0"/>
      <w:autoSpaceDN w:val="0"/>
      <w:adjustRightInd w:val="0"/>
    </w:pPr>
    <w:rPr>
      <w:rFonts w:ascii="Calibri" w:hAnsi="Calibri" w:cs="Calibri"/>
      <w:color w:val="000000"/>
      <w:lang w:val="en-US"/>
    </w:rPr>
  </w:style>
  <w:style w:type="paragraph" w:styleId="Title">
    <w:name w:val="Title"/>
    <w:basedOn w:val="Normal"/>
    <w:next w:val="Normal"/>
    <w:link w:val="TitleChar"/>
    <w:uiPriority w:val="10"/>
    <w:qFormat/>
    <w:rsid w:val="00540C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540C57"/>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nhideWhenUsed/>
    <w:rsid w:val="00540C57"/>
    <w:pPr>
      <w:spacing w:before="100" w:beforeAutospacing="1" w:after="100" w:afterAutospacing="1"/>
    </w:pPr>
    <w:rPr>
      <w:rFonts w:ascii="Times" w:hAnsi="Times" w:cs="Times New Roman"/>
      <w:sz w:val="20"/>
      <w:szCs w:val="20"/>
      <w:lang w:val="en-US"/>
    </w:rPr>
  </w:style>
  <w:style w:type="paragraph" w:styleId="BodyText">
    <w:name w:val="Body Text"/>
    <w:basedOn w:val="Normal"/>
    <w:link w:val="BodyTextChar"/>
    <w:rsid w:val="00540C57"/>
    <w:pPr>
      <w:widowControl w:val="0"/>
      <w:suppressAutoHyphens/>
    </w:pPr>
    <w:rPr>
      <w:rFonts w:ascii="Garamond" w:eastAsia="Garamond" w:hAnsi="Garamond" w:cs="Times New Roman"/>
      <w:lang w:val="en-US" w:eastAsia="ja-JP"/>
    </w:rPr>
  </w:style>
  <w:style w:type="character" w:customStyle="1" w:styleId="BodyTextChar">
    <w:name w:val="Body Text Char"/>
    <w:basedOn w:val="DefaultParagraphFont"/>
    <w:link w:val="BodyText"/>
    <w:rsid w:val="00540C57"/>
    <w:rPr>
      <w:rFonts w:ascii="Garamond" w:eastAsia="Garamond" w:hAnsi="Garamond" w:cs="Times New Roman"/>
      <w:lang w:val="en-US" w:eastAsia="ja-JP"/>
    </w:rPr>
  </w:style>
  <w:style w:type="paragraph" w:styleId="Header">
    <w:name w:val="header"/>
    <w:basedOn w:val="Normal"/>
    <w:link w:val="HeaderChar"/>
    <w:uiPriority w:val="99"/>
    <w:unhideWhenUsed/>
    <w:rsid w:val="00006B6B"/>
    <w:pPr>
      <w:tabs>
        <w:tab w:val="center" w:pos="4513"/>
        <w:tab w:val="right" w:pos="9026"/>
      </w:tabs>
    </w:pPr>
  </w:style>
  <w:style w:type="character" w:customStyle="1" w:styleId="HeaderChar">
    <w:name w:val="Header Char"/>
    <w:basedOn w:val="DefaultParagraphFont"/>
    <w:link w:val="Header"/>
    <w:uiPriority w:val="99"/>
    <w:rsid w:val="00006B6B"/>
  </w:style>
  <w:style w:type="paragraph" w:styleId="Footer">
    <w:name w:val="footer"/>
    <w:basedOn w:val="Normal"/>
    <w:link w:val="FooterChar"/>
    <w:uiPriority w:val="99"/>
    <w:unhideWhenUsed/>
    <w:rsid w:val="00006B6B"/>
    <w:pPr>
      <w:tabs>
        <w:tab w:val="center" w:pos="4513"/>
        <w:tab w:val="right" w:pos="9026"/>
      </w:tabs>
    </w:pPr>
  </w:style>
  <w:style w:type="character" w:customStyle="1" w:styleId="FooterChar">
    <w:name w:val="Footer Char"/>
    <w:basedOn w:val="DefaultParagraphFont"/>
    <w:link w:val="Footer"/>
    <w:uiPriority w:val="99"/>
    <w:rsid w:val="00006B6B"/>
  </w:style>
  <w:style w:type="paragraph" w:styleId="CommentSubject">
    <w:name w:val="annotation subject"/>
    <w:basedOn w:val="CommentText"/>
    <w:next w:val="CommentText"/>
    <w:link w:val="CommentSubjectChar"/>
    <w:uiPriority w:val="99"/>
    <w:semiHidden/>
    <w:unhideWhenUsed/>
    <w:rsid w:val="002B35BA"/>
    <w:pPr>
      <w:spacing w:after="0"/>
    </w:pPr>
    <w:rPr>
      <w:b/>
      <w:bCs/>
      <w:lang w:val="sv-SE" w:eastAsia="en-US"/>
    </w:rPr>
  </w:style>
  <w:style w:type="character" w:customStyle="1" w:styleId="CommentSubjectChar">
    <w:name w:val="Comment Subject Char"/>
    <w:basedOn w:val="CommentTextChar"/>
    <w:link w:val="CommentSubject"/>
    <w:uiPriority w:val="99"/>
    <w:semiHidden/>
    <w:rsid w:val="002B35BA"/>
    <w:rPr>
      <w:b/>
      <w:bCs/>
      <w:sz w:val="20"/>
      <w:szCs w:val="20"/>
      <w:lang w:val="de-CH" w:eastAsia="zh-CN"/>
    </w:rPr>
  </w:style>
  <w:style w:type="character" w:styleId="PageNumber">
    <w:name w:val="page number"/>
    <w:basedOn w:val="DefaultParagraphFont"/>
    <w:uiPriority w:val="99"/>
    <w:semiHidden/>
    <w:unhideWhenUsed/>
    <w:rsid w:val="00160E26"/>
  </w:style>
  <w:style w:type="paragraph" w:styleId="TOCHeading">
    <w:name w:val="TOC Heading"/>
    <w:basedOn w:val="Heading1"/>
    <w:next w:val="Normal"/>
    <w:uiPriority w:val="39"/>
    <w:unhideWhenUsed/>
    <w:qFormat/>
    <w:rsid w:val="00AB44E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B44E4"/>
    <w:pPr>
      <w:spacing w:before="120"/>
    </w:pPr>
    <w:rPr>
      <w:b/>
      <w:caps/>
      <w:sz w:val="22"/>
      <w:szCs w:val="22"/>
    </w:rPr>
  </w:style>
  <w:style w:type="paragraph" w:styleId="TOC2">
    <w:name w:val="toc 2"/>
    <w:basedOn w:val="Normal"/>
    <w:next w:val="Normal"/>
    <w:autoRedefine/>
    <w:uiPriority w:val="39"/>
    <w:unhideWhenUsed/>
    <w:rsid w:val="00AB44E4"/>
    <w:pPr>
      <w:ind w:left="240"/>
    </w:pPr>
    <w:rPr>
      <w:smallCaps/>
      <w:sz w:val="22"/>
      <w:szCs w:val="22"/>
    </w:rPr>
  </w:style>
  <w:style w:type="paragraph" w:styleId="TOC3">
    <w:name w:val="toc 3"/>
    <w:basedOn w:val="Normal"/>
    <w:next w:val="Normal"/>
    <w:autoRedefine/>
    <w:uiPriority w:val="39"/>
    <w:semiHidden/>
    <w:unhideWhenUsed/>
    <w:rsid w:val="00AB44E4"/>
    <w:pPr>
      <w:ind w:left="480"/>
    </w:pPr>
    <w:rPr>
      <w:i/>
      <w:sz w:val="22"/>
      <w:szCs w:val="22"/>
    </w:rPr>
  </w:style>
  <w:style w:type="paragraph" w:styleId="TOC4">
    <w:name w:val="toc 4"/>
    <w:basedOn w:val="Normal"/>
    <w:next w:val="Normal"/>
    <w:autoRedefine/>
    <w:uiPriority w:val="39"/>
    <w:semiHidden/>
    <w:unhideWhenUsed/>
    <w:rsid w:val="00AB44E4"/>
    <w:pPr>
      <w:ind w:left="720"/>
    </w:pPr>
    <w:rPr>
      <w:sz w:val="18"/>
      <w:szCs w:val="18"/>
    </w:rPr>
  </w:style>
  <w:style w:type="paragraph" w:styleId="TOC5">
    <w:name w:val="toc 5"/>
    <w:basedOn w:val="Normal"/>
    <w:next w:val="Normal"/>
    <w:autoRedefine/>
    <w:uiPriority w:val="39"/>
    <w:semiHidden/>
    <w:unhideWhenUsed/>
    <w:rsid w:val="00AB44E4"/>
    <w:pPr>
      <w:ind w:left="960"/>
    </w:pPr>
    <w:rPr>
      <w:sz w:val="18"/>
      <w:szCs w:val="18"/>
    </w:rPr>
  </w:style>
  <w:style w:type="paragraph" w:styleId="TOC6">
    <w:name w:val="toc 6"/>
    <w:basedOn w:val="Normal"/>
    <w:next w:val="Normal"/>
    <w:autoRedefine/>
    <w:uiPriority w:val="39"/>
    <w:semiHidden/>
    <w:unhideWhenUsed/>
    <w:rsid w:val="00AB44E4"/>
    <w:pPr>
      <w:ind w:left="1200"/>
    </w:pPr>
    <w:rPr>
      <w:sz w:val="18"/>
      <w:szCs w:val="18"/>
    </w:rPr>
  </w:style>
  <w:style w:type="paragraph" w:styleId="TOC7">
    <w:name w:val="toc 7"/>
    <w:basedOn w:val="Normal"/>
    <w:next w:val="Normal"/>
    <w:autoRedefine/>
    <w:uiPriority w:val="39"/>
    <w:semiHidden/>
    <w:unhideWhenUsed/>
    <w:rsid w:val="00AB44E4"/>
    <w:pPr>
      <w:ind w:left="1440"/>
    </w:pPr>
    <w:rPr>
      <w:sz w:val="18"/>
      <w:szCs w:val="18"/>
    </w:rPr>
  </w:style>
  <w:style w:type="paragraph" w:styleId="TOC8">
    <w:name w:val="toc 8"/>
    <w:basedOn w:val="Normal"/>
    <w:next w:val="Normal"/>
    <w:autoRedefine/>
    <w:uiPriority w:val="39"/>
    <w:semiHidden/>
    <w:unhideWhenUsed/>
    <w:rsid w:val="00AB44E4"/>
    <w:pPr>
      <w:ind w:left="1680"/>
    </w:pPr>
    <w:rPr>
      <w:sz w:val="18"/>
      <w:szCs w:val="18"/>
    </w:rPr>
  </w:style>
  <w:style w:type="paragraph" w:styleId="TOC9">
    <w:name w:val="toc 9"/>
    <w:basedOn w:val="Normal"/>
    <w:next w:val="Normal"/>
    <w:autoRedefine/>
    <w:uiPriority w:val="39"/>
    <w:semiHidden/>
    <w:unhideWhenUsed/>
    <w:rsid w:val="00AB44E4"/>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en.wikipedia.org/wiki/Microcredit" TargetMode="External"/><Relationship Id="rId21" Type="http://schemas.openxmlformats.org/officeDocument/2006/relationships/hyperlink" Target="http://en.wikipedia.org/wiki/Microfinance" TargetMode="External"/><Relationship Id="rId22" Type="http://schemas.openxmlformats.org/officeDocument/2006/relationships/hyperlink" Target="http://dx.doi.org/10.1007/s10826-014-9911-x" TargetMode="External"/><Relationship Id="rId23" Type="http://schemas.openxmlformats.org/officeDocument/2006/relationships/hyperlink" Target="http://www.uctpress.co.za/catalogue/itemdisplay.jsp?item_id=9989&amp;nav_id=2009&amp;tier_id=3723&amp;qsHasChildren=true" TargetMode="External"/><Relationship Id="rId24" Type="http://schemas.openxmlformats.org/officeDocument/2006/relationships/hyperlink" Target="http://www.3ieimpact.org/evidence/impact-evaluations/details/292/" TargetMode="External"/><Relationship Id="rId25" Type="http://schemas.openxmlformats.org/officeDocument/2006/relationships/hyperlink" Target="http://www.crimesciencejournal.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www.thenational.ae/news/uae-news/education/uae-teacher-banned-afterforcing-" TargetMode="External"/><Relationship Id="rId16" Type="http://schemas.openxmlformats.org/officeDocument/2006/relationships/hyperlink" Target="http://gulfnews.com/news/gulf/uae/general/child-labour-is-an-increasingphenomenon-" TargetMode="External"/><Relationship Id="rId17" Type="http://schemas.openxmlformats.org/officeDocument/2006/relationships/hyperlink" Target="http://www.esperanza.us" TargetMode="External"/><Relationship Id="rId18" Type="http://schemas.openxmlformats.org/officeDocument/2006/relationships/hyperlink" Target="http://www.crimesolutions.gov" TargetMode="External"/><Relationship Id="rId19" Type="http://schemas.openxmlformats.org/officeDocument/2006/relationships/hyperlink" Target="http://www.who.int/violence_injury_prevention/violence/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www.togetherforgirls.org" TargetMode="External"/><Relationship Id="rId4" Type="http://schemas.openxmlformats.org/officeDocument/2006/relationships/hyperlink" Target="http://www.evaluationchallenge.org" TargetMode="External"/><Relationship Id="rId5" Type="http://schemas.openxmlformats.org/officeDocument/2006/relationships/hyperlink" Target="http://www.svri.org" TargetMode="External"/><Relationship Id="rId6" Type="http://schemas.openxmlformats.org/officeDocument/2006/relationships/hyperlink" Target="https://www.dropbox.com/s/hz2wia9b3a94q13/WithoutViolenceMarch2014Taxonomy.pdf" TargetMode="External"/><Relationship Id="rId7" Type="http://schemas.openxmlformats.org/officeDocument/2006/relationships/hyperlink" Target="http://ncrb.nic.in/" TargetMode="External"/><Relationship Id="rId8" Type="http://schemas.openxmlformats.org/officeDocument/2006/relationships/hyperlink" Target="http://www.who.int/reproductivehealth/topics/violence/resolution/en/" TargetMode="External"/><Relationship Id="rId1" Type="http://schemas.openxmlformats.org/officeDocument/2006/relationships/hyperlink" Target="http://www.thelancet.com/journals/lancet/issue/vol378no9799/PIIS0140-6736(11)X6041-5" TargetMode="External"/><Relationship Id="rId2" Type="http://schemas.openxmlformats.org/officeDocument/2006/relationships/hyperlink" Target="http://www.girlsnotbride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cr.uu.se/research/ucdp/datasets/ucdp_prio_armed_conflict_dataset/" TargetMode="External"/><Relationship Id="rId4" Type="http://schemas.openxmlformats.org/officeDocument/2006/relationships/hyperlink" Target="http://www.diplomatshandbook.org" TargetMode="External"/><Relationship Id="rId5" Type="http://schemas.openxmlformats.org/officeDocument/2006/relationships/hyperlink" Target="http://www.brookings.edu/research/books/2013/armed-forces-support-democracy" TargetMode="External"/><Relationship Id="rId1" Type="http://schemas.openxmlformats.org/officeDocument/2006/relationships/hyperlink" Target="http://www.brookings.edu/iraqindex" TargetMode="External"/><Relationship Id="rId2" Type="http://schemas.openxmlformats.org/officeDocument/2006/relationships/hyperlink" Target="http://libyadiary.wordpress.com/2011/05/27/muammar-gaddafis-letters-to-obama-cameron-sarkozy-and-ban-ki-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F070-0A01-A544-A12C-B808814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181</Pages>
  <Words>71153</Words>
  <Characters>405577</Characters>
  <Application>Microsoft Macintosh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Livia</Company>
  <LinksUpToDate>false</LinksUpToDate>
  <CharactersWithSpaces>475779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Holm</dc:creator>
  <cp:lastModifiedBy>Maria Krisch</cp:lastModifiedBy>
  <cp:revision>2</cp:revision>
  <cp:lastPrinted>2014-09-18T06:36:00Z</cp:lastPrinted>
  <dcterms:created xsi:type="dcterms:W3CDTF">2014-09-18T18:15:00Z</dcterms:created>
  <dcterms:modified xsi:type="dcterms:W3CDTF">2014-09-18T18:15:00Z</dcterms:modified>
</cp:coreProperties>
</file>